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w:t>
      </w:r>
      <w:r w:rsidDel="00000000" w:rsidR="00000000" w:rsidRPr="00000000">
        <w:rPr>
          <w:rtl w:val="0"/>
        </w:rPr>
      </w:r>
    </w:p>
    <w:p w:rsidR="00000000" w:rsidDel="00000000" w:rsidP="00000000" w:rsidRDefault="00000000" w:rsidRPr="00000000" w14:paraId="00000002">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for a Joint Reference Submission to a Timetabling Panel in accordance with the provisions of Chapter H of the </w:t>
      </w:r>
      <w:r w:rsidDel="00000000" w:rsidR="00000000" w:rsidRPr="00000000">
        <w:rPr>
          <w:rFonts w:ascii="Arial Narrow" w:cs="Arial Narrow" w:eastAsia="Arial Narrow" w:hAnsi="Arial Narrow"/>
          <w:b w:val="1"/>
          <w:i w:val="1"/>
          <w:sz w:val="36"/>
          <w:szCs w:val="36"/>
          <w:rtl w:val="0"/>
        </w:rPr>
        <w:t xml:space="preserve">Metro</w:t>
      </w:r>
      <w:r w:rsidDel="00000000" w:rsidR="00000000" w:rsidRPr="00000000">
        <w:rPr>
          <w:rFonts w:ascii="Arial Narrow" w:cs="Arial Narrow" w:eastAsia="Arial Narrow" w:hAnsi="Arial Narrow"/>
          <w:b w:val="1"/>
          <w:i w:val="1"/>
          <w:sz w:val="36"/>
          <w:szCs w:val="36"/>
          <w:vertAlign w:val="baseline"/>
          <w:rtl w:val="0"/>
        </w:rPr>
        <w:t xml:space="preserve"> ADR Rules </w:t>
      </w:r>
      <w:r w:rsidDel="00000000" w:rsidR="00000000" w:rsidRPr="00000000">
        <w:rPr>
          <w:rtl w:val="0"/>
        </w:rPr>
      </w:r>
    </w:p>
    <w:p w:rsidR="00000000" w:rsidDel="00000000" w:rsidP="00000000" w:rsidRDefault="00000000" w:rsidRPr="00000000" w14:paraId="00000003">
      <w:pPr>
        <w:spacing w:after="120" w:lineRule="auto"/>
        <w:rPr>
          <w:i w:val="0"/>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This template, as required by ADR Rule H21(a), is to be used by Dispute Parties to prepare a Joint Submission for a Timetabling Panel (TTP) hearing.   Within the template, text in italics is advisory and should, once taken into account, be deleted from the final document.</w:t>
      </w:r>
    </w:p>
    <w:p w:rsidR="00000000" w:rsidDel="00000000" w:rsidP="00000000" w:rsidRDefault="00000000" w:rsidRPr="00000000" w14:paraId="00000005">
      <w:pPr>
        <w:pStyle w:val="Heading3"/>
        <w:spacing w:after="120" w:before="0" w:lineRule="auto"/>
        <w:ind w:left="0" w:firstLine="0"/>
        <w:rPr>
          <w:rFonts w:ascii="Arial Narrow" w:cs="Arial Narrow" w:eastAsia="Arial Narrow" w:hAnsi="Arial Narrow"/>
          <w:i w:val="0"/>
          <w:sz w:val="22"/>
          <w:szCs w:val="22"/>
          <w:vertAlign w:val="baseline"/>
        </w:rPr>
      </w:pPr>
      <w:bookmarkStart w:colFirst="0" w:colLast="0" w:name="_heading=h.gjdgxs" w:id="0"/>
      <w:bookmarkEnd w:id="0"/>
      <w:r w:rsidDel="00000000" w:rsidR="00000000" w:rsidRPr="00000000">
        <w:rPr>
          <w:rFonts w:ascii="Arial Narrow" w:cs="Arial Narrow" w:eastAsia="Arial Narrow" w:hAnsi="Arial Narrow"/>
          <w:i w:val="1"/>
          <w:sz w:val="22"/>
          <w:szCs w:val="22"/>
          <w:vertAlign w:val="baseline"/>
          <w:rtl w:val="0"/>
        </w:rPr>
        <w:t xml:space="preserve">Preamble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The detailed management and determination of each individual dispute heard by a Timetabling Panel shall be subject to the direction of the Hearing Chair.   ADR Rules H20 and H21 provide that,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z w:val="22"/>
          <w:szCs w:val="22"/>
        </w:rPr>
      </w:pPr>
      <w:bookmarkStart w:colFirst="0" w:colLast="0" w:name="_heading=h.30j0zll" w:id="1"/>
      <w:bookmarkEnd w:id="1"/>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“20</w:t>
      </w:r>
      <w:r w:rsidDel="00000000" w:rsidR="00000000" w:rsidRPr="00000000">
        <w:rPr>
          <w:rFonts w:ascii="Arial Narrow" w:cs="Arial Narrow" w:eastAsia="Arial Narrow" w:hAnsi="Arial Narrow"/>
          <w:i w:val="1"/>
          <w:sz w:val="22"/>
          <w:szCs w:val="22"/>
          <w:rtl w:val="0"/>
        </w:rPr>
        <w:tab/>
        <w:t xml:space="preserve">Upon appointment the Hearing Chair may give directions as to any or all aspects of the procedures to be followed. The Hearing Chair shall have the power at any time to make or amend the procedure to be followed by the parties in the TTP. The directions shall be in accordance with the Principles and this Chapter H and with any mandatory time requirements.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21</w:t>
      </w:r>
      <w:r w:rsidDel="00000000" w:rsidR="00000000" w:rsidRPr="00000000">
        <w:rPr>
          <w:rFonts w:ascii="Arial Narrow" w:cs="Arial Narrow" w:eastAsia="Arial Narrow" w:hAnsi="Arial Narrow"/>
          <w:i w:val="1"/>
          <w:sz w:val="22"/>
          <w:szCs w:val="22"/>
          <w:rtl w:val="0"/>
        </w:rPr>
        <w:tab/>
        <w:t xml:space="preserve">Unless the Hearing Chair directs otherwise (and subject to each party's right to apply for alternative or revised directions at all stages), the following timetable and procedure shall apply: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z w:val="22"/>
          <w:szCs w:val="22"/>
          <w:rtl w:val="0"/>
        </w:rPr>
        <w:t xml:space="preserve">(a) if the parties agree to submit a joint reference they shall, within 14 days of notification of the appointment of the Hearing Chair, submit a joint reference in accordance with the template format for a joint reference (found on the access disputes website) as may be adapted by the Hearing Chair in respect of a particular dispute;</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The expectation is that a single joint reference document will set out all the arguments of both Parties.   As many Timetabling Disputes are subject to the time constraints of the timetabling process, template formats are provided in order that the Parties shall be prompted to ensure that all material relevant to their respective arguments is immediately available</w:t>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to the Timetabling Panel in good time for the hearing, and</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to be published on the ADC website;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always bearing in mind that </w:t>
      </w:r>
      <w:r w:rsidDel="00000000" w:rsidR="00000000" w:rsidRPr="00000000">
        <w:rPr>
          <w:rFonts w:ascii="Arial Narrow" w:cs="Arial Narrow" w:eastAsia="Arial Narrow" w:hAnsi="Arial Narrow"/>
          <w:i w:val="1"/>
          <w:sz w:val="22"/>
          <w:szCs w:val="22"/>
          <w:rtl w:val="0"/>
        </w:rPr>
        <w:t xml:space="preserve">“an oral hearing lasting no more than one day shall be conducted.” (</w:t>
      </w:r>
      <w:r w:rsidDel="00000000" w:rsidR="00000000" w:rsidRPr="00000000">
        <w:rPr>
          <w:rFonts w:ascii="Arial Narrow" w:cs="Arial Narrow" w:eastAsia="Arial Narrow" w:hAnsi="Arial Narrow"/>
          <w:i w:val="1"/>
          <w:sz w:val="22"/>
          <w:szCs w:val="22"/>
          <w:vertAlign w:val="baseline"/>
          <w:rtl w:val="0"/>
        </w:rPr>
        <w:t xml:space="preserve">ADR Rule H21(d)</w:t>
      </w:r>
      <w:r w:rsidDel="00000000" w:rsidR="00000000" w:rsidRPr="00000000">
        <w:rPr>
          <w:rFonts w:ascii="Arial Narrow" w:cs="Arial Narrow" w:eastAsia="Arial Narrow" w:hAnsi="Arial Narrow"/>
          <w:i w:val="1"/>
          <w:sz w:val="22"/>
          <w:szCs w:val="22"/>
          <w:rtl w:val="0"/>
        </w:rPr>
        <w:t xml:space="preserve">)</w:t>
      </w:r>
      <w:r w:rsidDel="00000000" w:rsidR="00000000" w:rsidRPr="00000000">
        <w:rPr>
          <w:rFonts w:ascii="Arial Narrow" w:cs="Arial Narrow" w:eastAsia="Arial Narrow" w:hAnsi="Arial Narrow"/>
          <w:i w:val="1"/>
          <w:sz w:val="22"/>
          <w:szCs w:val="22"/>
          <w:vertAlign w:val="baseline"/>
          <w:rtl w:val="0"/>
        </w:rPr>
        <w:t xml:space="preserve"> , and that</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w:t>
      </w:r>
      <w:r w:rsidDel="00000000" w:rsidR="00000000" w:rsidRPr="00000000">
        <w:rPr>
          <w:rFonts w:ascii="Arial Narrow" w:cs="Arial Narrow" w:eastAsia="Arial Narrow" w:hAnsi="Arial Narrow"/>
          <w:i w:val="1"/>
          <w:sz w:val="22"/>
          <w:szCs w:val="22"/>
          <w:rtl w:val="0"/>
        </w:rPr>
        <w:t xml:space="preserve">The length of every reference and response shall be in proportion to the nature and complexity of the dispute. Unless otherwise agreed by the Hearing Chair, the maximum length of submissions shall be as follows: (a) a joint reference shall be no longer than 20 pages;” (</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ADR Rule H23</w:t>
      </w:r>
      <w:r w:rsidDel="00000000" w:rsidR="00000000" w:rsidRPr="00000000">
        <w:rPr>
          <w:rFonts w:ascii="Arial Narrow" w:cs="Arial Narrow" w:eastAsia="Arial Narrow" w:hAnsi="Arial Narrow"/>
          <w:i w:val="1"/>
          <w:sz w:val="22"/>
          <w:szCs w:val="22"/>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080"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1"/>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1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p>
    <w:p w:rsidR="00000000" w:rsidDel="00000000" w:rsidP="00000000" w:rsidRDefault="00000000" w:rsidRPr="00000000" w14:paraId="0000001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w:t>
      </w:r>
      <w:r w:rsidDel="00000000" w:rsidR="00000000" w:rsidRPr="00000000">
        <w:rPr>
          <w:rFonts w:ascii="Arial Narrow" w:cs="Arial Narrow" w:eastAsia="Arial Narrow" w:hAnsi="Arial Narrow"/>
          <w:i w:val="1"/>
          <w:rtl w:val="0"/>
        </w:rPr>
        <w:t xml:space="preserve">]</w:t>
      </w:r>
      <w:r w:rsidDel="00000000" w:rsidR="00000000" w:rsidRPr="00000000">
        <w:rPr>
          <w:rFonts w:ascii="Arial Narrow" w:cs="Arial Narrow" w:eastAsia="Arial Narrow" w:hAnsi="Arial Narrow"/>
          <w:rtl w:val="0"/>
        </w:rPr>
        <w:t xml:space="preserve"> (Company number </w:t>
      </w:r>
      <w:r w:rsidDel="00000000" w:rsidR="00000000" w:rsidRPr="00000000">
        <w:rPr>
          <w:rFonts w:ascii="Arial Narrow" w:cs="Arial Narrow" w:eastAsia="Arial Narrow" w:hAnsi="Arial Narrow"/>
          <w:i w:val="1"/>
          <w:rtl w:val="0"/>
        </w:rPr>
        <w:t xml:space="preserve">xxxxxxxxxx</w:t>
      </w:r>
      <w:r w:rsidDel="00000000" w:rsidR="00000000" w:rsidRPr="00000000">
        <w:rPr>
          <w:rFonts w:ascii="Arial Narrow" w:cs="Arial Narrow" w:eastAsia="Arial Narrow" w:hAnsi="Arial Narrow"/>
          <w:rtl w:val="0"/>
        </w:rPr>
        <w:t xml:space="preserve">) whose Registered Office is at </w:t>
      </w:r>
      <w:r w:rsidDel="00000000" w:rsidR="00000000" w:rsidRPr="00000000">
        <w:rPr>
          <w:rFonts w:ascii="Arial Narrow" w:cs="Arial Narrow" w:eastAsia="Arial Narrow" w:hAnsi="Arial Narrow"/>
          <w:i w:val="1"/>
          <w:rtl w:val="0"/>
        </w:rPr>
        <w:t xml:space="preserve">[Full address]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Claimant")); and</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418" w:right="0" w:hanging="709"/>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 (Company number </w:t>
      </w:r>
      <w:r w:rsidDel="00000000" w:rsidR="00000000" w:rsidRPr="00000000">
        <w:rPr>
          <w:rFonts w:ascii="Arial Narrow" w:cs="Arial Narrow" w:eastAsia="Arial Narrow" w:hAnsi="Arial Narrow"/>
          <w:i w:val="1"/>
          <w:rtl w:val="0"/>
        </w:rPr>
        <w:t xml:space="preserve">xxxxxxxxxx</w:t>
      </w:r>
      <w:r w:rsidDel="00000000" w:rsidR="00000000" w:rsidRPr="00000000">
        <w:rPr>
          <w:rFonts w:ascii="Arial Narrow" w:cs="Arial Narrow" w:eastAsia="Arial Narrow" w:hAnsi="Arial Narrow"/>
          <w:rtl w:val="0"/>
        </w:rPr>
        <w:t xml:space="preserve">) whose Registered Office is at </w:t>
      </w:r>
      <w:r w:rsidDel="00000000" w:rsidR="00000000" w:rsidRPr="00000000">
        <w:rPr>
          <w:rFonts w:ascii="Arial Narrow" w:cs="Arial Narrow" w:eastAsia="Arial Narrow" w:hAnsi="Arial Narrow"/>
          <w:i w:val="1"/>
          <w:rtl w:val="0"/>
        </w:rPr>
        <w:t xml:space="preserve">[Full address] ("[insert short form or abbreviation for Company name]</w:t>
      </w:r>
      <w:r w:rsidDel="00000000" w:rsidR="00000000" w:rsidRPr="00000000">
        <w:rPr>
          <w:rFonts w:ascii="Arial Narrow" w:cs="Arial Narrow" w:eastAsia="Arial Narrow" w:hAnsi="Arial Narrow"/>
          <w:rtl w:val="0"/>
        </w:rPr>
        <w:t xml:space="preserve">" ("the Defendant"))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addresses, contact details and e-mail addresses if different. </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either Dispute Party is aware that any third party may be affected by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finding in any of the ways sought in Section 7 of this template, they should ensure that this information is conveyed to the Secretary of the ADC at the earliest possible opportunity, and that the names of the relevant parties are recorded here.   There is no expectation that such parties shall participate in the submission of the principal Joint Submission; the affected Parties can seek the guidance of the Hearing Chair (via the Secretary) as to any format to be used in respect of any representations they may wish to make.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CLAIMANT’S RIGHT TO BRING THIS REFERENCE</w:t>
      </w:r>
    </w:p>
    <w:p w:rsidR="00000000" w:rsidDel="00000000" w:rsidP="00000000" w:rsidRDefault="00000000" w:rsidRPr="00000000" w14:paraId="0000001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for determination in accordance with Condition</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181.417322834645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Parties need to make explicitly clear what provisions of their contract entitle, or direct, them to bring their dispute before a Timetabling Panel.</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Parties have together produced this joint reference and it includes:-</w:t>
      </w:r>
    </w:p>
    <w:p w:rsidR="00000000" w:rsidDel="00000000" w:rsidP="00000000" w:rsidRDefault="00000000" w:rsidRPr="00000000" w14:paraId="0000001C">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p>
    <w:p w:rsidR="00000000" w:rsidDel="00000000" w:rsidP="00000000" w:rsidRDefault="00000000" w:rsidRPr="00000000" w14:paraId="0000001D">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980" w:right="0" w:hanging="126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5, a detailed explanation of the issues in dispute prepared by the Claimant with a paragraph by paragraph response from the Defendant;</w:t>
      </w:r>
    </w:p>
    <w:p w:rsidR="00000000" w:rsidDel="00000000" w:rsidP="00000000" w:rsidRDefault="00000000" w:rsidRPr="00000000" w14:paraId="0000001E">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further issues raised by the Defendant in Section 6;</w:t>
      </w:r>
    </w:p>
    <w:p w:rsidR="00000000" w:rsidDel="00000000" w:rsidP="00000000" w:rsidRDefault="00000000" w:rsidRPr="00000000" w14:paraId="0000001F">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980" w:right="0" w:hanging="1271"/>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7, the decisions sought from the </w:t>
      </w:r>
      <w:r w:rsidDel="00000000" w:rsidR="00000000" w:rsidRPr="00000000">
        <w:rPr>
          <w:rFonts w:ascii="Arial Narrow" w:cs="Arial Narrow" w:eastAsia="Arial Narrow" w:hAnsi="Arial Narrow"/>
          <w:rtl w:val="0"/>
        </w:rPr>
        <w:t xml:space="preserve">Chair</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in respect of </w:t>
      </w:r>
    </w:p>
    <w:p w:rsidR="00000000" w:rsidDel="00000000" w:rsidP="00000000" w:rsidRDefault="00000000" w:rsidRPr="00000000" w14:paraId="00000020">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w:t>
      </w:r>
    </w:p>
    <w:p w:rsidR="00000000" w:rsidDel="00000000" w:rsidP="00000000" w:rsidRDefault="00000000" w:rsidRPr="00000000" w14:paraId="00000021">
      <w:pPr>
        <w:keepNext w:val="0"/>
        <w:keepLines w:val="0"/>
        <w:widowControl w:val="1"/>
        <w:numPr>
          <w:ilvl w:val="3"/>
          <w:numId w:val="9"/>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p>
    <w:p w:rsidR="00000000" w:rsidDel="00000000" w:rsidP="00000000" w:rsidRDefault="00000000" w:rsidRPr="00000000" w14:paraId="0000002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THE DISPUTE</w:t>
      </w:r>
    </w:p>
    <w:p w:rsidR="00000000" w:rsidDel="00000000" w:rsidP="00000000" w:rsidRDefault="00000000" w:rsidRPr="00000000" w14:paraId="0000002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Initially provide a very brief indication of the subject matter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dispute regarding the allocation of capacity during a restriction of use.”</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provide details of the Condition in Part D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or the relevant provisions of the Track Access Contract that the dispute relates to, or is associated with.  For example:-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/section ●/Schedule ● of the Track Access Contract</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4.3</w:t>
        <w:tab/>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Then set out such relevant background information as is necessary to ensure a common level of understanding of all members of the Panel, including any further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in the contract, there is a relevant process with defined stages (e.g. consultation, responses within a set timescale, decision with reason),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Apart from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(see below), ensure that a copy of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 extract(s)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It can be assumed that Timetabling Panel members will have access to a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current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edition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 parts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must also be copied and annexed to this submission document.</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WITH RESPONSE</w:t>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Arguments of Claimant.</w:t>
      </w:r>
      <w:r w:rsidDel="00000000" w:rsidR="00000000" w:rsidRPr="00000000">
        <w:rPr>
          <w:rtl w:val="0"/>
        </w:rPr>
      </w:r>
    </w:p>
    <w:p w:rsidR="00000000" w:rsidDel="00000000" w:rsidP="00000000" w:rsidRDefault="00000000" w:rsidRPr="00000000" w14:paraId="0000003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Response by Defendant.</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Arguments of Claimant.</w:t>
      </w:r>
      <w:r w:rsidDel="00000000" w:rsidR="00000000" w:rsidRPr="00000000">
        <w:rPr>
          <w:rtl w:val="0"/>
        </w:rPr>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360" w:lineRule="auto"/>
        <w:ind w:left="1260" w:right="0" w:firstLine="0"/>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Response by Defendant.</w:t>
      </w:r>
      <w:r w:rsidDel="00000000" w:rsidR="00000000" w:rsidRPr="00000000">
        <w:rPr>
          <w:rtl w:val="0"/>
        </w:rPr>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etc., etc.</w:t>
      </w:r>
      <w:r w:rsidDel="00000000" w:rsidR="00000000" w:rsidRPr="00000000">
        <w:rPr>
          <w:rtl w:val="0"/>
        </w:rPr>
      </w:r>
    </w:p>
    <w:p w:rsidR="00000000" w:rsidDel="00000000" w:rsidP="00000000" w:rsidRDefault="00000000" w:rsidRPr="00000000" w14:paraId="00000039">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This format has been found to assist Parties and Panel members to focus clearly on the matters that require determination, and the parties will be expected to have had sufficient dialogue with each other to ensure that the submission meets these requirements.</w:t>
      </w:r>
      <w:r w:rsidDel="00000000" w:rsidR="00000000" w:rsidRPr="00000000">
        <w:rPr>
          <w:rtl w:val="0"/>
        </w:rPr>
      </w:r>
    </w:p>
    <w:p w:rsidR="00000000" w:rsidDel="00000000" w:rsidP="00000000" w:rsidRDefault="00000000" w:rsidRPr="00000000" w14:paraId="0000003A">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However, if the parties agree that their dispute would be more clearly presented if, for example, all the Claimant’s arguments are presented first (in one continuous narrative), followed by the Defendant’s case (again in a single narrative) they may adapt the template accordingly.</w:t>
      </w:r>
      <w:r w:rsidDel="00000000" w:rsidR="00000000" w:rsidRPr="00000000">
        <w:rPr>
          <w:rtl w:val="0"/>
        </w:rPr>
      </w:r>
    </w:p>
    <w:p w:rsidR="00000000" w:rsidDel="00000000" w:rsidP="00000000" w:rsidRDefault="00000000" w:rsidRPr="00000000" w14:paraId="0000003B">
      <w:pPr>
        <w:spacing w:after="120" w:line="360" w:lineRule="auto"/>
        <w:rPr>
          <w:rFonts w:ascii="Arial Narrow" w:cs="Arial Narrow" w:eastAsia="Arial Narrow" w:hAnsi="Arial Narrow"/>
          <w:i w:val="0"/>
          <w:smallCaps w:val="0"/>
          <w:vertAlign w:val="baseline"/>
        </w:rPr>
      </w:pPr>
      <w:r w:rsidDel="00000000" w:rsidR="00000000" w:rsidRPr="00000000">
        <w:rPr>
          <w:rFonts w:ascii="Arial Narrow" w:cs="Arial Narrow" w:eastAsia="Arial Narrow" w:hAnsi="Arial Narrow"/>
          <w:i w:val="1"/>
          <w:vertAlign w:val="baseline"/>
          <w:rtl w:val="0"/>
        </w:rPr>
        <w:t xml:space="preserve">In all other circumstances, including where the parties cannot agree how the template should be adapted, the submission should follow the default format in this Template for a Joint Reference.</w:t>
      </w:r>
      <w:r w:rsidDel="00000000" w:rsidR="00000000" w:rsidRPr="00000000">
        <w:rPr>
          <w:rtl w:val="0"/>
        </w:rPr>
      </w:r>
    </w:p>
    <w:p w:rsidR="00000000" w:rsidDel="00000000" w:rsidP="00000000" w:rsidRDefault="00000000" w:rsidRPr="00000000" w14:paraId="0000003C">
      <w:pPr>
        <w:spacing w:after="120" w:line="360"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Whichever framework is adopted for the presentation of arguments, Parties should keep in mind that the Panel needs to be given</w:t>
      </w:r>
      <w:r w:rsidDel="00000000" w:rsidR="00000000" w:rsidRPr="00000000">
        <w:rPr>
          <w:rtl w:val="0"/>
        </w:rPr>
      </w:r>
    </w:p>
    <w:p w:rsidR="00000000" w:rsidDel="00000000" w:rsidP="00000000" w:rsidRDefault="00000000" w:rsidRPr="00000000" w14:paraId="0000003D">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Parties’ respective positions.  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w:t>
      </w:r>
      <w:r w:rsidDel="00000000" w:rsidR="00000000" w:rsidRPr="00000000">
        <w:rPr>
          <w:rFonts w:ascii="Arial Narrow" w:cs="Arial Narrow" w:eastAsia="Arial Narrow" w:hAnsi="Arial Narrow"/>
          <w:i w:val="1"/>
          <w:vertAlign w:val="baseline"/>
          <w:rtl w:val="0"/>
        </w:rPr>
        <w:t xml:space="preserve"> should be quoted verbatim;</w:t>
      </w:r>
      <w:r w:rsidDel="00000000" w:rsidR="00000000" w:rsidRPr="00000000">
        <w:rPr>
          <w:rtl w:val="0"/>
        </w:rPr>
      </w:r>
    </w:p>
    <w:p w:rsidR="00000000" w:rsidDel="00000000" w:rsidP="00000000" w:rsidRDefault="00000000" w:rsidRPr="00000000" w14:paraId="0000003E">
      <w:pPr>
        <w:numPr>
          <w:ilvl w:val="0"/>
          <w:numId w:val="7"/>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Parties are in dispute, noted in such a way that the extent of the difference between the parties can be clearly appreciated;</w:t>
      </w:r>
      <w:r w:rsidDel="00000000" w:rsidR="00000000" w:rsidRPr="00000000">
        <w:rPr>
          <w:rtl w:val="0"/>
        </w:rPr>
      </w:r>
    </w:p>
    <w:p w:rsidR="00000000" w:rsidDel="00000000" w:rsidP="00000000" w:rsidRDefault="00000000" w:rsidRPr="00000000" w14:paraId="0000003F">
      <w:pPr>
        <w:numPr>
          <w:ilvl w:val="0"/>
          <w:numId w:val="7"/>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in each instance whether the point of difference is primarily one of principle, or whether the Parties are agreed on the point of principle and differ only in respect of the applicability of the principle to a specific instance, or on a matter of quantification;</w:t>
      </w:r>
      <w:r w:rsidDel="00000000" w:rsidR="00000000" w:rsidRPr="00000000">
        <w:rPr>
          <w:rtl w:val="0"/>
        </w:rPr>
      </w:r>
    </w:p>
    <w:p w:rsidR="00000000" w:rsidDel="00000000" w:rsidP="00000000" w:rsidRDefault="00000000" w:rsidRPr="00000000" w14:paraId="00000040">
      <w:pPr>
        <w:numPr>
          <w:ilvl w:val="0"/>
          <w:numId w:val="7"/>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difference between the two positions (e.g.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1">
      <w:pPr>
        <w:numPr>
          <w:ilvl w:val="0"/>
          <w:numId w:val="7"/>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2">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ANY FURTHER ISSUES RAISED</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may list any further claim or counter-issue that it wishes to have resolved as a necessary corollary of the dispute being heard.</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Response by Claimant to any of the issues raised by the Defendant in 6.1.</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w:t>
      </w:r>
      <w:r w:rsidDel="00000000" w:rsidR="00000000" w:rsidRPr="00000000">
        <w:rPr>
          <w:rFonts w:ascii="Arial Narrow" w:cs="Arial Narrow" w:eastAsia="Arial Narrow" w:hAnsi="Arial Narrow"/>
          <w:b w:val="1"/>
          <w:smallCaps w:val="1"/>
          <w:rtl w:val="0"/>
        </w:rPr>
        <w:t xml:space="preserve">CHAIR</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7.1</w:t>
        <w:tab/>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Each Dispute Party should set out the outcome it is seeking from the determination, differentiating between</w:t>
      </w:r>
      <w:r w:rsidDel="00000000" w:rsidR="00000000" w:rsidRPr="00000000">
        <w:rPr>
          <w:rtl w:val="0"/>
        </w:rPr>
      </w:r>
    </w:p>
    <w:p w:rsidR="00000000" w:rsidDel="00000000" w:rsidP="00000000" w:rsidRDefault="00000000" w:rsidRPr="00000000" w14:paraId="00000049">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684"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A">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684"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tl w:val="0"/>
        </w:rPr>
      </w:r>
    </w:p>
    <w:p w:rsidR="00000000" w:rsidDel="00000000" w:rsidP="00000000" w:rsidRDefault="00000000" w:rsidRPr="00000000" w14:paraId="0000004B">
      <w:pPr>
        <w:spacing w:after="120" w:line="360" w:lineRule="auto"/>
        <w:rPr>
          <w:rFonts w:ascii="Arial Narrow" w:cs="Arial Narrow" w:eastAsia="Arial Narrow" w:hAnsi="Arial Narrow"/>
          <w:i w:val="1"/>
        </w:rPr>
      </w:pPr>
      <w:bookmarkStart w:colFirst="0" w:colLast="0" w:name="_heading=h.2et92p0" w:id="2"/>
      <w:bookmarkEnd w:id="2"/>
      <w:r w:rsidDel="00000000" w:rsidR="00000000" w:rsidRPr="00000000">
        <w:rPr>
          <w:rFonts w:ascii="Arial Narrow" w:cs="Arial Narrow" w:eastAsia="Arial Narrow" w:hAnsi="Arial Narrow"/>
          <w:i w:val="1"/>
          <w:rtl w:val="0"/>
        </w:rPr>
        <w:t xml:space="preserve">In all their arguments and representations, the Parties should remember that the Chair is constrained by </w:t>
      </w:r>
      <w:r w:rsidDel="00000000" w:rsidR="00000000" w:rsidRPr="00000000">
        <w:rPr>
          <w:rFonts w:ascii="Arial Narrow" w:cs="Arial Narrow" w:eastAsia="Arial Narrow" w:hAnsi="Arial Narrow"/>
          <w:b w:val="1"/>
          <w:i w:val="1"/>
          <w:rtl w:val="0"/>
        </w:rPr>
        <w:t xml:space="preserve">Metro ADR Rule A5</w:t>
      </w:r>
      <w:r w:rsidDel="00000000" w:rsidR="00000000" w:rsidRPr="00000000">
        <w:rPr>
          <w:rFonts w:ascii="Arial Narrow" w:cs="Arial Narrow" w:eastAsia="Arial Narrow" w:hAnsi="Arial Narrow"/>
          <w:i w:val="1"/>
          <w:rtl w:val="0"/>
        </w:rPr>
        <w:t xml:space="preserve"> which states</w:t>
      </w:r>
    </w:p>
    <w:p w:rsidR="00000000" w:rsidDel="00000000" w:rsidP="00000000" w:rsidRDefault="00000000" w:rsidRPr="00000000" w14:paraId="0000004C">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b w:val="1"/>
          <w:i w:val="1"/>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Each Dispute Party will have a clear reason why it has not already settled the dispute, and the result that each wishes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to deliver.  There </w:t>
      </w:r>
      <w:r w:rsidDel="00000000" w:rsidR="00000000" w:rsidRPr="00000000">
        <w:rPr>
          <w:rFonts w:ascii="Arial Narrow" w:cs="Arial Narrow" w:eastAsia="Arial Narrow" w:hAnsi="Arial Narrow"/>
          <w:i w:val="1"/>
          <w:rtl w:val="0"/>
        </w:rPr>
        <w:t xml:space="preserve">is a need</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therefore for each Dispute Party to set down clearly what it wants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to find in its favour.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should be the first thing finalised, and each Dispute Party then marshals its arguments to support that case.  That said, Parties should be satisfied that the decision sought is one that a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can give.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Pleas such as “that party X exceeded its rights/ did not comply with its obligations under Para y of z”,</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or “party Q has not acted reasonably in relation to the discretions it is empowered to exercise by the relevant contracts;” are matters of entitlement and do accordingly fall within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 jurisdiction.</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will not support any contention that asks </w:t>
      </w:r>
      <w:r w:rsidDel="00000000" w:rsidR="00000000" w:rsidRPr="00000000">
        <w:rPr>
          <w:rFonts w:ascii="Arial Narrow" w:cs="Arial Narrow" w:eastAsia="Arial Narrow" w:hAnsi="Arial Narrow"/>
          <w:i w:val="1"/>
          <w:rtl w:val="0"/>
        </w:rPr>
        <w:t xml:space="preserve">them</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for example, to give a ruling that a contract is unfair and/or needs to be changed, because any such determination would not derive from either the Access Dispute Resolution Rules or an effective individual Access contract and would therefore be beyond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 powers.</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917" w:right="0" w:hanging="435"/>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2">
      <w:pPr>
        <w:spacing w:after="120" w:line="36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Remedy is what the aggrieved Dispute Party contends it should be granted if the ADA finds in its favour.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rtl w:val="0"/>
        </w:rPr>
        <w:t xml:space="preserve">Metro ADR Rule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b w:val="1"/>
          <w:i w:val="1"/>
          <w:rtl w:val="0"/>
        </w:rPr>
        <w:t xml:space="preserve">A6</w:t>
      </w:r>
      <w:r w:rsidDel="00000000" w:rsidR="00000000" w:rsidRPr="00000000">
        <w:rPr>
          <w:rFonts w:ascii="Arial Narrow" w:cs="Arial Narrow" w:eastAsia="Arial Narrow" w:hAnsi="Arial Narrow"/>
          <w:i w:val="1"/>
          <w:rtl w:val="0"/>
        </w:rPr>
        <w:t xml:space="preserve">, which states:</w:t>
      </w:r>
      <w:r w:rsidDel="00000000" w:rsidR="00000000" w:rsidRPr="00000000">
        <w:rPr>
          <w:rtl w:val="0"/>
        </w:rPr>
      </w:r>
    </w:p>
    <w:p w:rsidR="00000000" w:rsidDel="00000000" w:rsidP="00000000" w:rsidRDefault="00000000" w:rsidRPr="00000000" w14:paraId="00000053">
      <w:pPr>
        <w:spacing w:after="120" w:line="36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“Each and every Forum shall:</w:t>
      </w:r>
      <w:r w:rsidDel="00000000" w:rsidR="00000000" w:rsidRPr="00000000">
        <w:rPr>
          <w:rtl w:val="0"/>
        </w:rPr>
      </w:r>
    </w:p>
    <w:p w:rsidR="00000000" w:rsidDel="00000000" w:rsidP="00000000" w:rsidRDefault="00000000" w:rsidRPr="00000000" w14:paraId="00000054">
      <w:pPr>
        <w:spacing w:after="120" w:line="360" w:lineRule="auto"/>
        <w:ind w:left="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where the Access Conditions or Underlying Contract require that a specific remedy be granted, grant that remedy accordingly; or</w:t>
      </w:r>
    </w:p>
    <w:p w:rsidR="00000000" w:rsidDel="00000000" w:rsidP="00000000" w:rsidRDefault="00000000" w:rsidRPr="00000000" w14:paraId="00000055">
      <w:pPr>
        <w:spacing w:after="120" w:line="360" w:lineRule="auto"/>
        <w:ind w:left="0" w:firstLine="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(b) Where a specific remedy is provided for at law, grant that remedy accordingly; or</w:t>
      </w:r>
      <w:r w:rsidDel="00000000" w:rsidR="00000000" w:rsidRPr="00000000">
        <w:rPr>
          <w:rtl w:val="0"/>
        </w:rPr>
      </w:r>
    </w:p>
    <w:p w:rsidR="00000000" w:rsidDel="00000000" w:rsidP="00000000" w:rsidRDefault="00000000" w:rsidRPr="00000000" w14:paraId="00000056">
      <w:pPr>
        <w:spacing w:after="120" w:line="360" w:lineRule="auto"/>
        <w:ind w:left="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 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Dispute Party wishes to argue for an exercise of “discretion” as in (c) above, it must consider whether the </w:t>
      </w:r>
      <w:r w:rsidDel="00000000" w:rsidR="00000000" w:rsidRPr="00000000">
        <w:rPr>
          <w:rFonts w:ascii="Arial Narrow" w:cs="Arial Narrow" w:eastAsia="Arial Narrow" w:hAnsi="Arial Narrow"/>
          <w:i w:val="1"/>
          <w:rtl w:val="0"/>
        </w:rPr>
        <w:t xml:space="preserve">Chair</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has such discretion given the provisions of (a) and (b).</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120" w:before="0" w:line="360" w:lineRule="auto"/>
        <w:ind w:left="917" w:right="0" w:hanging="435"/>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Hearing Chair to decide other issues – such as ordering costs.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88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Parties confirm that they have complied with Access Dispute Resolution Rule H21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[which requires that </w:t>
      </w:r>
      <w:r w:rsidDel="00000000" w:rsidR="00000000" w:rsidRPr="00000000">
        <w:rPr>
          <w:rFonts w:ascii="Arial Narrow" w:cs="Arial Narrow" w:eastAsia="Arial Narrow" w:hAnsi="Arial Narrow"/>
          <w:i w:val="1"/>
          <w:rtl w:val="0"/>
        </w:rPr>
        <w:t xml:space="preserve">“copies of the following Documents … shall be annexed and cross referenced to the reference: (a)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contractual Documents containing the provision(s) under which the referral to the Timetabling Panel arises and/or provision(s) associated with the substance of the dispute; and (b) [the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any other Documents referred to in the reference”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It is undesirable for complete documents to be provided to the Panel – relevant extracts which demonstrate the Parties’ respective positions are sufficient.</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single"/>
          <w:shd w:fill="auto" w:val="clear"/>
          <w:vertAlign w:val="baseline"/>
          <w:rtl w:val="0"/>
        </w:rPr>
        <w:t xml:space="preserve">Extracts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Access Conditions/the </w:t>
      </w:r>
      <w:r w:rsidDel="00000000" w:rsidR="00000000" w:rsidRPr="00000000">
        <w:rPr>
          <w:rFonts w:ascii="Arial Narrow" w:cs="Arial Narrow" w:eastAsia="Arial Narrow" w:hAnsi="Arial Narrow"/>
          <w:rtl w:val="0"/>
        </w:rPr>
        <w:t xml:space="preserve">Metro</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 are included where the dispute relates to previous (i.e. no longer current) versions of these documents.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are bound into the submission and consecutively page numbered.  To assist the Panel, in each Appendix</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heading states which Dispute Party has requested that the particular appendix be placed before the Panel;  and</w:t>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quotations or references that are cited in the formal submission are highlighted (or side-lined) so that the context of the quotation or reference is apparent.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the Panel will be consecutively numbered so as to follow on at the conclusion of the previous submission.</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SIGNATURES</w:t>
      </w:r>
    </w:p>
    <w:tbl>
      <w:tblPr>
        <w:tblStyle w:val="Table1"/>
        <w:tblW w:w="82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gridCol w:w="4146"/>
        <w:tblGridChange w:id="0">
          <w:tblGrid>
            <w:gridCol w:w="4145"/>
            <w:gridCol w:w="4146"/>
          </w:tblGrid>
        </w:tblGridChange>
      </w:tblGrid>
      <w:tr>
        <w:trPr>
          <w:cantSplit w:val="0"/>
          <w:tblHeader w:val="0"/>
        </w:trPr>
        <w:tc>
          <w:tcPr>
            <w:vAlign w:val="top"/>
          </w:tcPr>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65">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6">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Defendant</w:t>
            </w:r>
          </w:p>
        </w:tc>
      </w:tr>
      <w:tr>
        <w:trPr>
          <w:cantSplit w:val="0"/>
          <w:tblHeader w:val="0"/>
        </w:trPr>
        <w:tc>
          <w:tcPr>
            <w:vAlign w:val="top"/>
          </w:tcPr>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68">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             </w:t>
            </w:r>
            <w:r w:rsidDel="00000000" w:rsidR="00000000" w:rsidRPr="00000000">
              <w:rPr>
                <w:rFonts w:ascii="Arial Narrow" w:cs="Arial Narrow" w:eastAsia="Arial Narrow" w:hAnsi="Arial Narrow"/>
                <w:vertAlign w:val="baseline"/>
                <w:rtl w:val="0"/>
              </w:rPr>
              <w:t xml:space="preserve">Ltd</w:t>
            </w: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6E">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F">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c>
          <w:tcPr>
            <w:vAlign w:val="top"/>
          </w:tcPr>
          <w:p w:rsidR="00000000" w:rsidDel="00000000" w:rsidP="00000000" w:rsidRDefault="00000000" w:rsidRPr="00000000" w14:paraId="00000073">
            <w:pPr>
              <w:rPr>
                <w:rFonts w:ascii="Arial Narrow" w:cs="Arial Narrow" w:eastAsia="Arial Narrow" w:hAnsi="Arial Narrow"/>
                <w:i w:val="0"/>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vertAlign w:val="baseline"/>
                <w:rtl w:val="0"/>
              </w:rPr>
              <w:t xml:space="preserve">Ltd</w:t>
            </w:r>
            <w:r w:rsidDel="00000000" w:rsidR="00000000" w:rsidRPr="00000000">
              <w:rPr>
                <w:rtl w:val="0"/>
              </w:rPr>
            </w:r>
          </w:p>
          <w:p w:rsidR="00000000" w:rsidDel="00000000" w:rsidP="00000000" w:rsidRDefault="00000000" w:rsidRPr="00000000" w14:paraId="00000074">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76">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7">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79">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A">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F">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a control mechanism; it provides the Panel with assurance that the dispute has been referred to 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80">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Parties are reminded that in sending representatives to argue its case before the Panel, </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i w:val="1"/>
          <w:rtl w:val="0"/>
        </w:rPr>
        <w:t xml:space="preserve">it shall … ensure that (a) the competencies, skills and knowledge of any chosen representative are appropriate to the issues involved in the dispute (content, subject and value)” [Metro ADR Rule A19]</w:t>
      </w:r>
    </w:p>
    <w:p w:rsidR="00000000" w:rsidDel="00000000" w:rsidP="00000000" w:rsidRDefault="00000000" w:rsidRPr="00000000" w14:paraId="00000081">
      <w:pPr>
        <w:spacing w:after="120" w:line="360"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i w:val="1"/>
          <w:rtl w:val="0"/>
        </w:rPr>
        <w:t xml:space="preserve">Now provide the Appendices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sz w:val="28"/>
          <w:szCs w:val="28"/>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r w:rsidDel="00000000" w:rsidR="00000000" w:rsidRPr="00000000">
        <w:rPr>
          <w:rtl w:val="0"/>
        </w:rPr>
      </w:r>
    </w:p>
    <w:p w:rsidR="00000000" w:rsidDel="00000000" w:rsidP="00000000" w:rsidRDefault="00000000" w:rsidRPr="00000000" w14:paraId="00000082">
      <w:pPr>
        <w:pStyle w:val="Heading1"/>
        <w:rPr>
          <w:sz w:val="24"/>
          <w:szCs w:val="24"/>
          <w:vertAlign w:val="baseline"/>
        </w:rPr>
      </w:pPr>
      <w:r w:rsidDel="00000000" w:rsidR="00000000" w:rsidRPr="00000000">
        <w:rPr>
          <w:rtl w:val="0"/>
        </w:rPr>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Page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4"/>
      <w:numFmt w:val="decimal"/>
      <w:lvlText w:val="%1"/>
      <w:lvlJc w:val="left"/>
      <w:pPr>
        <w:ind w:left="709" w:hanging="709"/>
      </w:pPr>
      <w:rPr>
        <w:b w:val="1"/>
        <w:i w:val="0"/>
        <w:smallCaps w:val="0"/>
        <w:strike w:val="0"/>
        <w:color w:val="000000"/>
        <w:vertAlign w:val="baseline"/>
      </w:rPr>
    </w:lvl>
    <w:lvl w:ilvl="1">
      <w:start w:val="4"/>
      <w:numFmt w:val="decimal"/>
      <w:lvlText w:val="%1.%2"/>
      <w:lvlJc w:val="left"/>
      <w:pPr>
        <w:ind w:left="889" w:hanging="709"/>
      </w:pPr>
      <w:rPr>
        <w:i w:val="0"/>
        <w:smallCaps w:val="0"/>
        <w:strike w:val="0"/>
        <w:color w:val="000000"/>
        <w:vertAlign w:val="baseline"/>
      </w:rPr>
    </w:lvl>
    <w:lvl w:ilvl="2">
      <w:start w:val="1"/>
      <w:numFmt w:val="lowerLetter"/>
      <w:lvlText w:val="(%3)"/>
      <w:lvlJc w:val="left"/>
      <w:pPr>
        <w:ind w:left="1260" w:firstLine="0"/>
      </w:pPr>
      <w:rPr>
        <w:b w:val="1"/>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3">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6">
    <w:lvl w:ilvl="0">
      <w:start w:val="7"/>
      <w:numFmt w:val="decimal"/>
      <w:lvlText w:val="%1"/>
      <w:lvlJc w:val="left"/>
      <w:pPr>
        <w:ind w:left="435" w:hanging="435"/>
      </w:pPr>
      <w:rPr>
        <w:vertAlign w:val="baseline"/>
      </w:rPr>
    </w:lvl>
    <w:lvl w:ilvl="1">
      <w:start w:val="1"/>
      <w:numFmt w:val="decimal"/>
      <w:lvlText w:val="%1.%2"/>
      <w:lvlJc w:val="left"/>
      <w:pPr>
        <w:ind w:left="917" w:hanging="435"/>
      </w:pPr>
      <w:rPr>
        <w:vertAlign w:val="baseline"/>
      </w:rPr>
    </w:lvl>
    <w:lvl w:ilvl="2">
      <w:start w:val="1"/>
      <w:numFmt w:val="decimal"/>
      <w:lvlText w:val="%1.%2.%3"/>
      <w:lvlJc w:val="left"/>
      <w:pPr>
        <w:ind w:left="1684" w:hanging="720"/>
      </w:pPr>
      <w:rPr>
        <w:vertAlign w:val="baseline"/>
      </w:rPr>
    </w:lvl>
    <w:lvl w:ilvl="3">
      <w:start w:val="1"/>
      <w:numFmt w:val="decimal"/>
      <w:lvlText w:val="%1.%2.%3.%4"/>
      <w:lvlJc w:val="left"/>
      <w:pPr>
        <w:ind w:left="2166" w:hanging="720"/>
      </w:pPr>
      <w:rPr>
        <w:vertAlign w:val="baseline"/>
      </w:rPr>
    </w:lvl>
    <w:lvl w:ilvl="4">
      <w:start w:val="1"/>
      <w:numFmt w:val="decimal"/>
      <w:lvlText w:val="%1.%2.%3.%4.%5"/>
      <w:lvlJc w:val="left"/>
      <w:pPr>
        <w:ind w:left="3008" w:hanging="1080"/>
      </w:pPr>
      <w:rPr>
        <w:vertAlign w:val="baseline"/>
      </w:rPr>
    </w:lvl>
    <w:lvl w:ilvl="5">
      <w:start w:val="1"/>
      <w:numFmt w:val="decimal"/>
      <w:lvlText w:val="%1.%2.%3.%4.%5.%6"/>
      <w:lvlJc w:val="left"/>
      <w:pPr>
        <w:ind w:left="3490" w:hanging="1080"/>
      </w:pPr>
      <w:rPr>
        <w:vertAlign w:val="baseline"/>
      </w:rPr>
    </w:lvl>
    <w:lvl w:ilvl="6">
      <w:start w:val="1"/>
      <w:numFmt w:val="decimal"/>
      <w:lvlText w:val="%1.%2.%3.%4.%5.%6.%7"/>
      <w:lvlJc w:val="left"/>
      <w:pPr>
        <w:ind w:left="4332" w:hanging="1440"/>
      </w:pPr>
      <w:rPr>
        <w:vertAlign w:val="baseline"/>
      </w:rPr>
    </w:lvl>
    <w:lvl w:ilvl="7">
      <w:start w:val="1"/>
      <w:numFmt w:val="decimal"/>
      <w:lvlText w:val="%1.%2.%3.%4.%5.%6.%7.%8"/>
      <w:lvlJc w:val="left"/>
      <w:pPr>
        <w:ind w:left="4814" w:hanging="1440"/>
      </w:pPr>
      <w:rPr>
        <w:vertAlign w:val="baseline"/>
      </w:rPr>
    </w:lvl>
    <w:lvl w:ilvl="8">
      <w:start w:val="1"/>
      <w:numFmt w:val="decimal"/>
      <w:lvlText w:val="%1.%2.%3.%4.%5.%6.%7.%8.%9"/>
      <w:lvlJc w:val="left"/>
      <w:pPr>
        <w:ind w:left="5296" w:hanging="1440"/>
      </w:pPr>
      <w:rPr>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1"/>
      <w:lvlJc w:val="left"/>
      <w:pPr>
        <w:ind w:left="709" w:hanging="709"/>
      </w:pPr>
      <w:rPr>
        <w:b w:val="1"/>
        <w:i w:val="0"/>
        <w:smallCaps w:val="0"/>
        <w:strike w:val="0"/>
        <w:color w:val="000000"/>
        <w:vertAlign w:val="baseline"/>
      </w:rPr>
    </w:lvl>
    <w:lvl w:ilvl="1">
      <w:start w:val="1"/>
      <w:numFmt w:val="decimal"/>
      <w:lvlText w:val="%1.%2"/>
      <w:lvlJc w:val="left"/>
      <w:pPr>
        <w:ind w:left="889" w:hanging="709"/>
      </w:pPr>
      <w:rPr>
        <w:i w:val="0"/>
        <w:smallCaps w:val="0"/>
        <w:strike w:val="0"/>
        <w:color w:val="000000"/>
        <w:vertAlign w:val="baseline"/>
      </w:rPr>
    </w:lvl>
    <w:lvl w:ilvl="2">
      <w:start w:val="1"/>
      <w:numFmt w:val="lowerLetter"/>
      <w:lvlText w:val="(%3)"/>
      <w:lvlJc w:val="left"/>
      <w:pPr>
        <w:ind w:left="1260" w:firstLine="0"/>
      </w:pPr>
      <w:rPr>
        <w:b w:val="1"/>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EXDdB6Vvcb3cKEVH354/VBRxEQ==">AMUW2mWE+yKeObwiTiVqYygk8s2dGM7SBG+3tS6IpaSKb9yJDTh8pmWyxFvOvyb0+3upJfQNNCJNKiU8jDzkMLaNHG4jzl4mzL3QPb86VyjUq19XjhZh6681F3aYop2STEXCB7RS5LRTFQv1IE2RiFTI+ByRMw/eTQ==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2015-10-29T15:41:00Z</dcterms:created>
  <dc:creator>Shrubsole</dc:creator>
</cp:coreProperties>
</file>