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Claim for determination by Access Dispute Adjudication (“ADA”) in accordance with the provisions of Chapter G of the </w:t>
      </w:r>
      <w:r w:rsidDel="00000000" w:rsidR="00000000" w:rsidRPr="00000000">
        <w:rPr>
          <w:rFonts w:ascii="Arial Narrow" w:cs="Arial Narrow" w:eastAsia="Arial Narrow" w:hAnsi="Arial Narrow"/>
          <w:b w:val="1"/>
          <w:i w:val="1"/>
          <w:sz w:val="36"/>
          <w:szCs w:val="36"/>
          <w:rtl w:val="0"/>
        </w:rPr>
        <w:t xml:space="preserve">Metro</w:t>
      </w:r>
      <w:r w:rsidDel="00000000" w:rsidR="00000000" w:rsidRPr="00000000">
        <w:rPr>
          <w:rFonts w:ascii="Arial Narrow" w:cs="Arial Narrow" w:eastAsia="Arial Narrow" w:hAnsi="Arial Narrow"/>
          <w:b w:val="1"/>
          <w:i w:val="1"/>
          <w:sz w:val="36"/>
          <w:szCs w:val="36"/>
          <w:vertAlign w:val="baseline"/>
          <w:rtl w:val="0"/>
        </w:rPr>
        <w:t xml:space="preserve"> ADR Rules </w:t>
      </w:r>
      <w:r w:rsidDel="00000000" w:rsidR="00000000" w:rsidRPr="00000000">
        <w:rPr>
          <w:rtl w:val="0"/>
        </w:rPr>
      </w:r>
    </w:p>
    <w:p w:rsidR="00000000" w:rsidDel="00000000" w:rsidP="00000000" w:rsidRDefault="00000000" w:rsidRPr="00000000" w14:paraId="00000002">
      <w:pPr>
        <w:spacing w:after="120" w:lineRule="auto"/>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This template, as required by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 G1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i w:val="1"/>
          <w:sz w:val="22"/>
          <w:szCs w:val="22"/>
          <w:rtl w:val="0"/>
        </w:rPr>
        <w:t xml:space="preserve">, is to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be used by the Claimant Dispute Party to prepare a Submission for an ADA hearing.   Within the template, text in italics is advisory, and should, once taken into account, be deleted from the final document.</w:t>
      </w:r>
    </w:p>
    <w:p w:rsidR="00000000" w:rsidDel="00000000" w:rsidP="00000000" w:rsidRDefault="00000000" w:rsidRPr="00000000" w14:paraId="00000004">
      <w:pPr>
        <w:pStyle w:val="Heading3"/>
        <w:spacing w:after="120" w:before="0" w:lineRule="auto"/>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The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Access Dispute Resolution Rules provide that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1"/>
          <w:sz w:val="22"/>
          <w:szCs w:val="22"/>
        </w:rPr>
      </w:pPr>
      <w:bookmarkStart w:colFirst="0" w:colLast="0" w:name="_heading=h.30j0zll" w:id="1"/>
      <w:bookmarkEnd w:id="1"/>
      <w:r w:rsidDel="00000000" w:rsidR="00000000" w:rsidRPr="00000000">
        <w:rPr>
          <w:rFonts w:ascii="Arial Narrow" w:cs="Arial Narrow" w:eastAsia="Arial Narrow" w:hAnsi="Arial Narrow"/>
          <w:i w:val="1"/>
          <w:sz w:val="22"/>
          <w:szCs w:val="22"/>
          <w:rtl w:val="0"/>
        </w:rPr>
        <w:t xml:space="preserve">“All disputes referred to resolution in accordance with these Rules under Condition B2.4.4 of the Metro Network Code shall be referred to an ADA in accordance with Chapter G as a single stage dispute resolution process with no appeal. Following service of a Notice of Dispute relating to such a dispute an ADA shall commence and the Secretary shall appoint a Hearing Chair for the dispute in accordance with Rule G8. If either party raises any objection then the Hearing Chair shall consider the best way to proceed.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bookmarkStart w:colFirst="0" w:colLast="0" w:name="_heading=h.fgo63bs5b5uq" w:id="2"/>
      <w:bookmarkEnd w:id="2"/>
      <w:r w:rsidDel="00000000" w:rsidR="00000000" w:rsidRPr="00000000">
        <w:rPr>
          <w:rFonts w:ascii="Arial Narrow" w:cs="Arial Narrow" w:eastAsia="Arial Narrow" w:hAnsi="Arial Narrow"/>
          <w:i w:val="1"/>
          <w:sz w:val="22"/>
          <w:szCs w:val="22"/>
          <w:rtl w:val="0"/>
        </w:rPr>
        <w:t xml:space="preserve">Except as stipulated in Rule B8, all disputes referred for resolution in accordance with these Rules under Part J of the Metro Network Code shall be referred to an ADA in accordance with Chapter G with a right of appeal to ORR for determination in accordance with Part M of the Metro Network Code. Following service of a Notice of Dispute relating to such a dispute an ADA shall commence and the Secretary shall appoint a Hearing Chair for the dispute in accordance with Rule G8. If either party raises any objection then the Hearing Chair shall consider the best way to proceed.</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Rules B6 and B7 “Allocation Process”]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In addition,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Dispute Parties may, in accordance with ADR Rule B1</w:t>
      </w:r>
      <w:r w:rsidDel="00000000" w:rsidR="00000000" w:rsidRPr="00000000">
        <w:rPr>
          <w:rFonts w:ascii="Arial Narrow" w:cs="Arial Narrow" w:eastAsia="Arial Narrow" w:hAnsi="Arial Narrow"/>
          <w:i w:val="1"/>
          <w:sz w:val="22"/>
          <w:szCs w:val="22"/>
          <w:rtl w:val="0"/>
        </w:rPr>
        <w:t xml:space="preserve">0</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agree within a formal “Procedure Agreement” that an ADA is the most appropriate determination procedure for their particular dispute,  or,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where the Parties cannot agree which is the most appropriate determination procedure for their particular dispute, the Allocation Chair shall preside over the process set out in Rule B1</w:t>
      </w:r>
      <w:r w:rsidDel="00000000" w:rsidR="00000000" w:rsidRPr="00000000">
        <w:rPr>
          <w:rFonts w:ascii="Arial Narrow" w:cs="Arial Narrow" w:eastAsia="Arial Narrow" w:hAnsi="Arial Narrow"/>
          <w:i w:val="1"/>
          <w:sz w:val="22"/>
          <w:szCs w:val="22"/>
          <w:rtl w:val="0"/>
        </w:rPr>
        <w:t xml:space="preserve">4</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which may result in the formulation of a Procedure Agreement providing for the Parties to submit to the determination of an ADA.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ADR Rules B1</w:t>
      </w:r>
      <w:r w:rsidDel="00000000" w:rsidR="00000000" w:rsidRPr="00000000">
        <w:rPr>
          <w:rFonts w:ascii="Arial Narrow" w:cs="Arial Narrow" w:eastAsia="Arial Narrow" w:hAnsi="Arial Narrow"/>
          <w:i w:val="1"/>
          <w:sz w:val="22"/>
          <w:szCs w:val="22"/>
          <w:rtl w:val="0"/>
        </w:rPr>
        <w:t xml:space="preserve">6</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and G</w:t>
      </w:r>
      <w:r w:rsidDel="00000000" w:rsidR="00000000" w:rsidRPr="00000000">
        <w:rPr>
          <w:rFonts w:ascii="Arial Narrow" w:cs="Arial Narrow" w:eastAsia="Arial Narrow" w:hAnsi="Arial Narrow"/>
          <w:i w:val="1"/>
          <w:sz w:val="22"/>
          <w:szCs w:val="22"/>
          <w:rtl w:val="0"/>
        </w:rPr>
        <w:t xml:space="preserve">5</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 G</w:t>
      </w:r>
      <w:r w:rsidDel="00000000" w:rsidR="00000000" w:rsidRPr="00000000">
        <w:rPr>
          <w:rFonts w:ascii="Arial Narrow" w:cs="Arial Narrow" w:eastAsia="Arial Narrow" w:hAnsi="Arial Narrow"/>
          <w:i w:val="1"/>
          <w:sz w:val="22"/>
          <w:szCs w:val="22"/>
          <w:rtl w:val="0"/>
        </w:rPr>
        <w:t xml:space="preserve">7</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provides that,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bookmarkStart w:colFirst="0" w:colLast="0" w:name="_heading=h.1fob9te" w:id="3"/>
      <w:bookmarkEnd w:id="3"/>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z w:val="22"/>
          <w:szCs w:val="22"/>
          <w:rtl w:val="0"/>
        </w:rPr>
        <w:t xml:space="preserve">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procedures to be followed and shall have the power at any time to make or amend the procedure (and the directions) to be followed by the parties in the ADA. The directions shall be in accordance with the Principles.</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ADR Rule G</w:t>
      </w:r>
      <w:r w:rsidDel="00000000" w:rsidR="00000000" w:rsidRPr="00000000">
        <w:rPr>
          <w:rFonts w:ascii="Arial Narrow" w:cs="Arial Narrow" w:eastAsia="Arial Narrow" w:hAnsi="Arial Narrow"/>
          <w:i w:val="1"/>
          <w:sz w:val="22"/>
          <w:szCs w:val="22"/>
          <w:rtl w:val="0"/>
        </w:rPr>
        <w:t xml:space="preserve">7</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bookmarkStart w:colFirst="0" w:colLast="0" w:name="_heading=h.3znysh7" w:id="4"/>
      <w:bookmarkEnd w:id="4"/>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ADR Rule G1</w:t>
      </w:r>
      <w:r w:rsidDel="00000000" w:rsidR="00000000" w:rsidRPr="00000000">
        <w:rPr>
          <w:rFonts w:ascii="Arial Narrow" w:cs="Arial Narrow" w:eastAsia="Arial Narrow" w:hAnsi="Arial Narrow"/>
          <w:i w:val="1"/>
          <w:sz w:val="22"/>
          <w:szCs w:val="22"/>
          <w:rtl w:val="0"/>
        </w:rPr>
        <w:t xml:space="preserve">2</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provides the Hearing Chair with discretion to amend the procedures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z w:val="22"/>
          <w:szCs w:val="22"/>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G16 are appropriate or justified and will have regard to the submissions of the parties in this respect.</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[Rule G1</w:t>
      </w:r>
      <w:r w:rsidDel="00000000" w:rsidR="00000000" w:rsidRPr="00000000">
        <w:rPr>
          <w:rFonts w:ascii="Arial Narrow" w:cs="Arial Narrow" w:eastAsia="Arial Narrow" w:hAnsi="Arial Narrow"/>
          <w:i w:val="1"/>
          <w:sz w:val="22"/>
          <w:szCs w:val="22"/>
          <w:rtl w:val="0"/>
        </w:rPr>
        <w:t xml:space="preserve">2</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Template formats corresponding to the requirements set down in ADR Rule G1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 and (b) are provided in order that the Parties shall be prompted to ensure that all material relevant to their respective arguments are available to the laid down timescale (i.e ADR Rule G1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or as modified in the Procedure Agreement)</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the other Dispute Party (Parties),  and</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subject to confidentiality considerations, to be published on the ADC website;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always bearing in mind that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sz w:val="22"/>
          <w:szCs w:val="22"/>
          <w:rtl w:val="0"/>
        </w:rPr>
        <w:t xml:space="preserve">The length of every Statement of Case shall be in proportion to the nature and complexity of the dispute. Unless otherwise agreed by the Hearing Chair the maximum length of submissions shall be as follows: (a) a statement of claim or defence shall be no longer than 20 pages;</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[ADR Rule G</w:t>
      </w:r>
      <w:r w:rsidDel="00000000" w:rsidR="00000000" w:rsidRPr="00000000">
        <w:rPr>
          <w:rFonts w:ascii="Arial Narrow" w:cs="Arial Narrow" w:eastAsia="Arial Narrow" w:hAnsi="Arial Narrow"/>
          <w:i w:val="1"/>
          <w:sz w:val="22"/>
          <w:szCs w:val="22"/>
          <w:rtl w:val="0"/>
        </w:rPr>
        <w:t xml:space="preserve">18</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sz w:val="22"/>
          <w:szCs w:val="22"/>
          <w:rtl w:val="0"/>
        </w:rPr>
        <w:t xml:space="preserve">An Access Dispute Adjudication (ADA) under these Rules is a determinative dispute resolution process in which, with the benefit of advice from independent railway Industry Advisors, a Hearing Chair determines the dispute in a timely and efficient manner </w:t>
      </w:r>
      <w:r w:rsidDel="00000000" w:rsidR="00000000" w:rsidRPr="00000000">
        <w:rPr>
          <w:rFonts w:ascii="Arial Narrow" w:cs="Arial Narrow" w:eastAsia="Arial Narrow" w:hAnsi="Arial Narrow"/>
          <w:i w:val="1"/>
          <w:sz w:val="22"/>
          <w:szCs w:val="22"/>
          <w:u w:val="singl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i w:val="1"/>
          <w:sz w:val="22"/>
          <w:szCs w:val="22"/>
          <w:rtl w:val="0"/>
        </w:rPr>
        <w:t xml:space="preserve">.</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[ADR Rule G1]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Limited</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Limited]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 ("[insert short form or abbreviation for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ADA 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Section [  ] of [  ] contract/Condition [  ]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*delete as appropriate.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57.165354330708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ADR Rules B6, B7 or B8, or any Procedure Agreement between the Parties.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Statement of Claim includes:-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5, a detailed explanation of the issues in dispute prepared by the Claimant;</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6, the decisions of principle sought from the ADA in respect of</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  For example: </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regarding the allocation of delay responsibilities”</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the transfer or use of Access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Rights”, or</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the proper application of Station Access Condition X”</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ADA,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all provisions of the Underlying Contract, including any relevant Condition in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or Access Conditions, as well as any particular provisions of the Access Contract that the dispute relates to, or is associated with.   For example:-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Code/Access Conditions /section ●/Schedule ● of the Track/Station/Depot Access Contract</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1.338582677165356"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 It can be assumed that an ADA will have access to a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current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edition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the Claimant should ensure that the ADA is supplied with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pages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of the applicable version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Claimant should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the ADA members have personal copies or knowledge of the relevant parts (in particular any Schedules) of the specific access agreements in dispute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parts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Reference.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etc.etc.</w:t>
      </w:r>
      <w:r w:rsidDel="00000000" w:rsidR="00000000" w:rsidRPr="00000000">
        <w:rPr>
          <w:rtl w:val="0"/>
        </w:rPr>
      </w:r>
    </w:p>
    <w:p w:rsidR="00000000" w:rsidDel="00000000" w:rsidP="00000000" w:rsidRDefault="00000000" w:rsidRPr="00000000" w14:paraId="0000003D">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ADA needs to be given</w:t>
      </w:r>
      <w:r w:rsidDel="00000000" w:rsidR="00000000" w:rsidRPr="00000000">
        <w:rPr>
          <w:rtl w:val="0"/>
        </w:rPr>
      </w:r>
    </w:p>
    <w:p w:rsidR="00000000" w:rsidDel="00000000" w:rsidP="00000000" w:rsidRDefault="00000000" w:rsidRPr="00000000" w14:paraId="0000003E">
      <w:pPr>
        <w:numPr>
          <w:ilvl w:val="0"/>
          <w:numId w:val="10"/>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vertAlign w:val="baseline"/>
          <w:rtl w:val="0"/>
        </w:rPr>
        <w:t xml:space="preserve">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3F">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40">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1">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i w:val="1"/>
          <w:vertAlign w:val="baseline"/>
          <w:rtl w:val="0"/>
        </w:rPr>
        <w:t xml:space="preserve"> Given the provisions of ADR Rule G</w:t>
      </w:r>
      <w:r w:rsidDel="00000000" w:rsidR="00000000" w:rsidRPr="00000000">
        <w:rPr>
          <w:rFonts w:ascii="Arial Narrow" w:cs="Arial Narrow" w:eastAsia="Arial Narrow" w:hAnsi="Arial Narrow"/>
          <w:i w:val="1"/>
          <w:rtl w:val="0"/>
        </w:rPr>
        <w:t xml:space="preserve">2</w:t>
      </w:r>
      <w:r w:rsidDel="00000000" w:rsidR="00000000" w:rsidRPr="00000000">
        <w:rPr>
          <w:rFonts w:ascii="Arial Narrow" w:cs="Arial Narrow" w:eastAsia="Arial Narrow" w:hAnsi="Arial Narrow"/>
          <w:i w:val="1"/>
          <w:vertAlign w:val="baseline"/>
          <w:rtl w:val="0"/>
        </w:rPr>
        <w:t xml:space="preserve">,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the Party is affected by any possible outcome of the dispute.</w:t>
      </w:r>
      <w:r w:rsidDel="00000000" w:rsidR="00000000" w:rsidRPr="00000000">
        <w:rPr>
          <w:rtl w:val="0"/>
        </w:rPr>
      </w:r>
    </w:p>
    <w:p w:rsidR="00000000" w:rsidDel="00000000" w:rsidP="00000000" w:rsidRDefault="00000000" w:rsidRPr="00000000" w14:paraId="00000042">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43">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ADJUDICATION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6.1</w:t>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ADA’s determination, differentiating between</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604" w:right="0" w:firstLine="360.00000000000006"/>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6.1.1</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ab/>
        <w:t xml:space="preserve">  the matters of principle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64"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6.1.2</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ab/>
        <w:t xml:space="preserve">  specific conclusions deriving from those matters of principle.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2et92p0" w:id="5"/>
      <w:bookmarkEnd w:id="5"/>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ADR 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will have a clear reason why it has not already settled the dispute and the result that it wishes the ADA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therefore for it to set down clearly what it wants the ADA to find in its favour.</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ADA should be the first thing finalised, and arguments marshalled to support the case for that outcome.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20.0000000000001" w:right="0" w:hanging="720.0000000000001"/>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6.2</w:t>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ADA finds in its favour.</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ADR 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20.0000000000001" w:right="0" w:hanging="720.0000000000001"/>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6.3</w:t>
      </w: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Access Dispute Resolution Rule G1</w:t>
      </w:r>
      <w:r w:rsidDel="00000000" w:rsidR="00000000" w:rsidRPr="00000000">
        <w:rPr>
          <w:rFonts w:ascii="Arial Narrow" w:cs="Arial Narrow" w:eastAsia="Arial Narrow" w:hAnsi="Arial Narrow"/>
          <w:rtl w:val="0"/>
        </w:rPr>
        <w:t xml:space="preserve">3</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(a)(ix)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[which requires that: copies of the following Documents which shall be annexed and cross</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referenced to the statement:</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the relevant extracts of contractual Documents containing the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provision(s) under which the referral to the ADA arises and/or</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provision(s) associated with the substance of the dispute; and</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 any other Documents referred to in the reference.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dispute relates to previous (i.e. no longer current) versions of Access Conditions/the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all relevant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of the applicable documents are to be included.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rPr>
          <w:cantSplit w:val="0"/>
          <w:tblHeader w:val="0"/>
        </w:trPr>
        <w:tc>
          <w:tcPr>
            <w:vAlign w:val="top"/>
          </w:tcPr>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w:t>
            </w:r>
            <w:r w:rsidDel="00000000" w:rsidR="00000000" w:rsidRPr="00000000">
              <w:rPr>
                <w:rFonts w:ascii="Arial Narrow" w:cs="Arial Narrow" w:eastAsia="Arial Narrow" w:hAnsi="Arial Narrow"/>
                <w:vertAlign w:val="baseline"/>
                <w:rtl w:val="0"/>
              </w:rPr>
              <w:t xml:space="preserve"> Ltd</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7">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ADA with assurance that the dispute has been </w:t>
      </w:r>
      <w:r w:rsidDel="00000000" w:rsidR="00000000" w:rsidRPr="00000000">
        <w:rPr>
          <w:rFonts w:ascii="Arial Narrow" w:cs="Arial Narrow" w:eastAsia="Arial Narrow" w:hAnsi="Arial Narrow"/>
          <w:i w:val="1"/>
          <w:rtl w:val="0"/>
        </w:rPr>
        <w:t xml:space="preserve">referred to with</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sz w:val="24"/>
          <w:szCs w:val="24"/>
          <w:u w:val="none"/>
          <w:shd w:fill="auto" w:val="clear"/>
          <w:vertAlign w:val="baseline"/>
          <w:rtl w:val="0"/>
        </w:rPr>
        <w:t xml:space="preserve">it shall … ensure that </w:t>
      </w:r>
      <w:r w:rsidDel="00000000" w:rsidR="00000000" w:rsidRPr="00000000">
        <w:rPr>
          <w:rFonts w:ascii="Arial Narrow" w:cs="Arial Narrow" w:eastAsia="Arial Narrow" w:hAnsi="Arial Narrow"/>
          <w:rtl w:val="0"/>
        </w:rPr>
        <w:t xml:space="preserve">(a)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ADR Rule A19]</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i w:val="1"/>
          <w:rtl w:val="0"/>
        </w:rPr>
        <w:t xml:space="preserve">Now provide the Appendices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106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7"/>
      <w:numFmt w:val="decimal"/>
      <w:lvlText w:val="%1"/>
      <w:lvlJc w:val="left"/>
      <w:pPr>
        <w:ind w:left="709" w:hanging="709"/>
      </w:pPr>
      <w:rPr>
        <w:i w:val="0"/>
        <w:smallCaps w:val="0"/>
        <w:strike w:val="0"/>
        <w:color w:val="000000"/>
        <w:vertAlign w:val="baseline"/>
      </w:rPr>
    </w:lvl>
    <w:lvl w:ilvl="1">
      <w:start w:val="2"/>
      <w:numFmt w:val="decimal"/>
      <w:lvlText w:val="%1.%2"/>
      <w:lvlJc w:val="left"/>
      <w:pPr>
        <w:ind w:left="1069" w:hanging="709"/>
      </w:pPr>
      <w:rPr>
        <w:rFonts w:ascii="Arial Narrow" w:cs="Arial Narrow" w:eastAsia="Arial Narrow" w:hAnsi="Arial Narrow"/>
        <w:b w:val="0"/>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0"/>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rjnSpudzn+lZBAxB3LM/cGNw==">AMUW2mVFX2mqZtjQVduISszIJZGPjmRJbk56VWe6Hs6cbMwdU7/mlGhKkkoSamsN6/FECj6KvZVdnBW8QKQoWKLXQrgRSQH4m8PXgjKAptRc1N/pHYi9QExn5bVr4dFiFjqds57OHNrNRwWdEzjPS+c1Js2OWyxde4OkN7jNUBISzTCdtFn004AiekOcTRBuPzdS6YNwirkmarE5ePa3ol5Z2El+FlfniQ==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2015-10-29T15:47:00Z</dcterms:created>
  <dc:creator>Shrubsole</dc:creator>
</cp:coreProperties>
</file>