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Defendant’s Response to a Sole Reference to a Timetabling Panel in accordance with the provisions of Chapter H of the </w:t>
      </w:r>
      <w:r w:rsidDel="00000000" w:rsidR="00000000" w:rsidRPr="00000000">
        <w:rPr>
          <w:rFonts w:ascii="Arial Narrow" w:cs="Arial Narrow" w:eastAsia="Arial Narrow" w:hAnsi="Arial Narrow"/>
          <w:b w:val="1"/>
          <w:i w:val="1"/>
          <w:sz w:val="36"/>
          <w:szCs w:val="36"/>
          <w:rtl w:val="0"/>
        </w:rPr>
        <w:t xml:space="preserve">Metro</w:t>
      </w:r>
      <w:r w:rsidDel="00000000" w:rsidR="00000000" w:rsidRPr="00000000">
        <w:rPr>
          <w:rFonts w:ascii="Arial Narrow" w:cs="Arial Narrow" w:eastAsia="Arial Narrow" w:hAnsi="Arial Narrow"/>
          <w:b w:val="1"/>
          <w:i w:val="1"/>
          <w:sz w:val="36"/>
          <w:szCs w:val="36"/>
          <w:vertAlign w:val="baseline"/>
          <w:rtl w:val="0"/>
        </w:rPr>
        <w:t xml:space="preserve"> ADR Rules</w:t>
      </w:r>
      <w:r w:rsidDel="00000000" w:rsidR="00000000" w:rsidRPr="00000000">
        <w:rPr>
          <w:rtl w:val="0"/>
        </w:rPr>
      </w:r>
    </w:p>
    <w:p w:rsidR="00000000" w:rsidDel="00000000" w:rsidP="00000000" w:rsidRDefault="00000000" w:rsidRPr="00000000" w14:paraId="00000002">
      <w:pPr>
        <w:spacing w:after="12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This template, as required by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 H21(b), is to be used by the Defendant Dispute Party to prepare a response submission for a Timetabling Panel hearing. Within the Template, text in Italics is advisory, and should, once taken into account, be deleted from the final document. </w:t>
      </w:r>
    </w:p>
    <w:p w:rsidR="00000000" w:rsidDel="00000000" w:rsidP="00000000" w:rsidRDefault="00000000" w:rsidRPr="00000000" w14:paraId="00000004">
      <w:pPr>
        <w:pStyle w:val="Heading3"/>
        <w:spacing w:after="120" w:before="0" w:lineRule="auto"/>
        <w:ind w:left="0" w:firstLine="0"/>
        <w:rPr>
          <w:rFonts w:ascii="Arial Narrow" w:cs="Arial Narrow" w:eastAsia="Arial Narrow" w:hAnsi="Arial Narrow"/>
          <w:i w:val="0"/>
          <w:sz w:val="22"/>
          <w:szCs w:val="22"/>
          <w:vertAlign w:val="baseline"/>
        </w:rPr>
      </w:pPr>
      <w:bookmarkStart w:colFirst="0" w:colLast="0" w:name="_heading=h.gjdgxs" w:id="0"/>
      <w:bookmarkEnd w:id="0"/>
      <w:r w:rsidDel="00000000" w:rsidR="00000000" w:rsidRPr="00000000">
        <w:rPr>
          <w:rFonts w:ascii="Arial Narrow" w:cs="Arial Narrow" w:eastAsia="Arial Narrow" w:hAnsi="Arial Narrow"/>
          <w:i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05">
      <w:pPr>
        <w:spacing w:after="12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The detailed management and determination of each individual dispute heard by a Timetabling Panel shall be subject to the direction of the Hearing Chair.   ADR Rule H20 provides that, “Upon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p>
    <w:p w:rsidR="00000000" w:rsidDel="00000000" w:rsidP="00000000" w:rsidRDefault="00000000" w:rsidRPr="00000000" w14:paraId="00000006">
      <w:pPr>
        <w:spacing w:after="120" w:line="360" w:lineRule="auto"/>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Given that many Timetabling Disputes are subject to the time constraints of the timetabling process, template formats are provided in order that the Parties shall be prompted to ensure that all material relevant to their respective arguments is available in a timely manner</w:t>
      </w:r>
    </w:p>
    <w:p w:rsidR="00000000" w:rsidDel="00000000" w:rsidP="00000000" w:rsidRDefault="00000000" w:rsidRPr="00000000" w14:paraId="00000007">
      <w:pPr>
        <w:numPr>
          <w:ilvl w:val="0"/>
          <w:numId w:val="4"/>
        </w:numPr>
        <w:spacing w:after="120" w:line="360" w:lineRule="auto"/>
        <w:ind w:left="720" w:hanging="360"/>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to the other Dispute Party/Parties</w:t>
      </w:r>
    </w:p>
    <w:p w:rsidR="00000000" w:rsidDel="00000000" w:rsidP="00000000" w:rsidRDefault="00000000" w:rsidRPr="00000000" w14:paraId="00000008">
      <w:pPr>
        <w:numPr>
          <w:ilvl w:val="0"/>
          <w:numId w:val="4"/>
        </w:numPr>
        <w:spacing w:after="120" w:line="360" w:lineRule="auto"/>
        <w:ind w:left="720" w:hanging="360"/>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to the Timetabling Panel in good time for the hearing, and</w:t>
      </w:r>
    </w:p>
    <w:p w:rsidR="00000000" w:rsidDel="00000000" w:rsidP="00000000" w:rsidRDefault="00000000" w:rsidRPr="00000000" w14:paraId="00000009">
      <w:pPr>
        <w:numPr>
          <w:ilvl w:val="0"/>
          <w:numId w:val="4"/>
        </w:numPr>
        <w:spacing w:after="120" w:line="360" w:lineRule="auto"/>
        <w:ind w:left="720" w:hanging="360"/>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to be published on the ADC website;</w:t>
      </w:r>
    </w:p>
    <w:p w:rsidR="00000000" w:rsidDel="00000000" w:rsidP="00000000" w:rsidRDefault="00000000" w:rsidRPr="00000000" w14:paraId="0000000A">
      <w:pPr>
        <w:spacing w:after="12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always bearing in mind that “an oral hearing lasting no more than one day shall be conducted.” (ADR Rule H21(d)) , and that</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z w:val="22"/>
          <w:szCs w:val="22"/>
          <w:rtl w:val="0"/>
        </w:rPr>
        <w:t xml:space="preserve">“The length of every reference and response shall be in proportion to the nature and complexity of the dispute. Unless otherwise agreed by the Hearing Chair, the maximum length of submissions shall be as follows: … (b) a sole reference or response shall be no longer than 10 pages.” (ADR Rule H23).</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69" w:right="0"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F">
      <w:pPr>
        <w:numPr>
          <w:ilvl w:val="2"/>
          <w:numId w:val="6"/>
        </w:numPr>
        <w:spacing w:after="120" w:line="360" w:lineRule="auto"/>
        <w:ind w:left="709" w:firstLine="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rtl w:val="0"/>
        </w:rPr>
        <w:t xml:space="preserve"> (Company number</w:t>
      </w:r>
      <w:r w:rsidDel="00000000" w:rsidR="00000000" w:rsidRPr="00000000">
        <w:rPr>
          <w:rFonts w:ascii="Arial Narrow" w:cs="Arial Narrow" w:eastAsia="Arial Narrow" w:hAnsi="Arial Narrow"/>
          <w:i w:val="1"/>
          <w:rtl w:val="0"/>
        </w:rPr>
        <w:t xml:space="preserve"> 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 ("[insert short form or abbreviation for Company name]" </w:t>
      </w:r>
      <w:r w:rsidDel="00000000" w:rsidR="00000000" w:rsidRPr="00000000">
        <w:rPr>
          <w:rFonts w:ascii="Arial Narrow" w:cs="Arial Narrow" w:eastAsia="Arial Narrow" w:hAnsi="Arial Narrow"/>
          <w:rtl w:val="0"/>
        </w:rPr>
        <w:t xml:space="preserve">("the Claimant")); and</w:t>
      </w:r>
      <w:r w:rsidDel="00000000" w:rsidR="00000000" w:rsidRPr="00000000">
        <w:rPr>
          <w:rtl w:val="0"/>
        </w:rPr>
      </w:r>
    </w:p>
    <w:p w:rsidR="00000000" w:rsidDel="00000000" w:rsidP="00000000" w:rsidRDefault="00000000" w:rsidRPr="00000000" w14:paraId="00000010">
      <w:pPr>
        <w:numPr>
          <w:ilvl w:val="2"/>
          <w:numId w:val="6"/>
        </w:numPr>
        <w:spacing w:after="120" w:line="360" w:lineRule="auto"/>
        <w:ind w:left="709" w:firstLine="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w:t>
      </w:r>
      <w:r w:rsidDel="00000000" w:rsidR="00000000" w:rsidRPr="00000000">
        <w:rPr>
          <w:rFonts w:ascii="Arial Narrow" w:cs="Arial Narrow" w:eastAsia="Arial Narrow" w:hAnsi="Arial Narrow"/>
          <w:i w:val="1"/>
          <w:rtl w:val="0"/>
        </w:rPr>
        <w:t xml:space="preserve"> [Full address] ("[insert short form or abbreviation for Company name]" </w:t>
      </w:r>
      <w:r w:rsidDel="00000000" w:rsidR="00000000" w:rsidRPr="00000000">
        <w:rPr>
          <w:rFonts w:ascii="Arial Narrow" w:cs="Arial Narrow" w:eastAsia="Arial Narrow" w:hAnsi="Arial Narrow"/>
          <w:rtl w:val="0"/>
        </w:rPr>
        <w:t xml:space="preserve">("the Defendant")).</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Include correspondence address, contact details and e-mail address if different.</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Where the Defendant is aware that any third party may be affected by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THIS </w:t>
      </w:r>
      <w:r w:rsidDel="00000000" w:rsidR="00000000" w:rsidRPr="00000000">
        <w:rPr>
          <w:rFonts w:ascii="Arial Narrow" w:cs="Arial Narrow" w:eastAsia="Arial Narrow" w:hAnsi="Arial Narrow"/>
          <w:b w:val="1"/>
          <w:smallCaps w:val="1"/>
          <w:rtl w:val="0"/>
        </w:rPr>
        <w:t xml:space="preserve">DOCUMENT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This Response to the Claimant’s Sole Reference includes:-</w:t>
      </w:r>
    </w:p>
    <w:p w:rsidR="00000000" w:rsidDel="00000000" w:rsidP="00000000" w:rsidRDefault="00000000" w:rsidRPr="00000000" w14:paraId="0000001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Confirmation, or qualification, that the subject matter of the dispute is as set out by the Claimant in its Sole Reference, in the form of a summary schedule cross-referenced to the issues raised by the Claimant in the Sole Reference, identifying which the Defendant agrees with and which it disagrees with.</w:t>
      </w:r>
    </w:p>
    <w:p w:rsidR="00000000" w:rsidDel="00000000" w:rsidP="00000000" w:rsidRDefault="00000000" w:rsidRPr="00000000" w14:paraId="0000001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A detailed explanation of the Defendant’s arguments in support of its position on those issues where it disagrees with the Claimant’s Sole Reference, including references to documents or contractual provisions not dealt with in the Claimant’s Sole Reference.</w:t>
      </w:r>
    </w:p>
    <w:p w:rsidR="00000000" w:rsidDel="00000000" w:rsidP="00000000" w:rsidRDefault="00000000" w:rsidRPr="00000000" w14:paraId="0000001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Any further related issues not raised by the Claimant but which the Defendant considers fall to be determined as part of the dispute;</w:t>
      </w:r>
    </w:p>
    <w:p w:rsidR="00000000" w:rsidDel="00000000" w:rsidP="00000000" w:rsidRDefault="00000000" w:rsidRPr="00000000" w14:paraId="0000001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The decisions of principle sought from the </w:t>
      </w:r>
      <w:r w:rsidDel="00000000" w:rsidR="00000000" w:rsidRPr="00000000">
        <w:rPr>
          <w:rFonts w:ascii="Arial Narrow" w:cs="Arial Narrow" w:eastAsia="Arial Narrow" w:hAnsi="Arial Narrow"/>
          <w:rtl w:val="0"/>
        </w:rPr>
        <w:t xml:space="preserve">Chair</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 in respect of</w:t>
      </w:r>
    </w:p>
    <w:p w:rsidR="00000000" w:rsidDel="00000000" w:rsidP="00000000" w:rsidRDefault="00000000" w:rsidRPr="00000000" w14:paraId="00000019">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legal entitlement, and</w:t>
      </w:r>
    </w:p>
    <w:p w:rsidR="00000000" w:rsidDel="00000000" w:rsidP="00000000" w:rsidRDefault="00000000" w:rsidRPr="00000000" w14:paraId="0000001A">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remedies;</w:t>
      </w:r>
    </w:p>
    <w:p w:rsidR="00000000" w:rsidDel="00000000" w:rsidP="00000000" w:rsidRDefault="00000000" w:rsidRPr="00000000" w14:paraId="0000001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1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Confirm, clarify or qualify any areas where the Defendant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Provide details of any Condition in Part D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Network Code, or the relevant provision of the Track Access Contract that the dispute relates to, or is associated with, that have not been cited in the Sole Reference, but which the Defendant considers supports its case.</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Provide any relevant background information not already given by the Claimant such as is necessary to ensure a common level of understanding of all members of the Panel, including details of the contractual framework surrounding the obligations of the Parties in relation to the dispute.  This is also the opportunity to make the case where the Claimant has sought to introduce as </w:t>
      </w:r>
      <w:r w:rsidDel="00000000" w:rsidR="00000000" w:rsidRPr="00000000">
        <w:rPr>
          <w:rFonts w:ascii="Arial Narrow" w:cs="Arial Narrow" w:eastAsia="Arial Narrow" w:hAnsi="Arial Narrow"/>
          <w:i w:val="1"/>
          <w:rtl w:val="0"/>
        </w:rPr>
        <w:t xml:space="preserve">relevant material</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which the Defendant considers does not relate to the circumstance in dispute.</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Unless already provided by the claimant, ensure that a copy of the relevant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Network Code.  However,</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if the dispute derives from actions taken (or not taken) before the date of introduction of the relevant pages of the current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Network Code the Defendant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the Defendant should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Provide details of any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other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documents that the Defendant considers are relevant to the dispute.  The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relevant</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u w:val="single"/>
          <w:shd w:fill="auto" w:val="clear"/>
          <w:vertAlign w:val="baseline"/>
          <w:rtl w:val="0"/>
        </w:rPr>
        <w:t xml:space="preserve">parts</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must also be copied and annexed to this response document.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single"/>
          <w:shd w:fill="auto" w:val="clear"/>
          <w:vertAlign w:val="baseline"/>
          <w:rtl w:val="0"/>
        </w:rPr>
        <w:t xml:space="preserve">NOTE: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u w:val="single"/>
          <w:rtl w:val="0"/>
        </w:rPr>
        <w:t xml:space="preserve">the </w:t>
      </w:r>
      <w:r w:rsidDel="00000000" w:rsidR="00000000" w:rsidRPr="00000000">
        <w:rPr>
          <w:rFonts w:ascii="Arial Narrow" w:cs="Arial Narrow" w:eastAsia="Arial Narrow" w:hAnsi="Arial Narrow"/>
          <w:b w:val="1"/>
          <w:i w:val="1"/>
          <w:smallCaps w:val="0"/>
          <w:strike w:val="0"/>
          <w:color w:val="000000"/>
          <w:u w:val="single"/>
          <w:shd w:fill="auto" w:val="clear"/>
          <w:vertAlign w:val="baseline"/>
          <w:rtl w:val="0"/>
        </w:rPr>
        <w:t xml:space="preserve">Defendant </w:t>
      </w:r>
      <w:r w:rsidDel="00000000" w:rsidR="00000000" w:rsidRPr="00000000">
        <w:rPr>
          <w:rFonts w:ascii="Arial Narrow" w:cs="Arial Narrow" w:eastAsia="Arial Narrow" w:hAnsi="Arial Narrow"/>
          <w:b w:val="1"/>
          <w:i w:val="1"/>
          <w:u w:val="single"/>
          <w:rtl w:val="0"/>
        </w:rPr>
        <w:t xml:space="preserve">should not</w:t>
      </w:r>
      <w:r w:rsidDel="00000000" w:rsidR="00000000" w:rsidRPr="00000000">
        <w:rPr>
          <w:rFonts w:ascii="Arial Narrow" w:cs="Arial Narrow" w:eastAsia="Arial Narrow" w:hAnsi="Arial Narrow"/>
          <w:b w:val="1"/>
          <w:i w:val="1"/>
          <w:smallCaps w:val="0"/>
          <w:strike w:val="0"/>
          <w:color w:val="000000"/>
          <w:u w:val="single"/>
          <w:shd w:fill="auto" w:val="clear"/>
          <w:vertAlign w:val="baseline"/>
          <w:rtl w:val="0"/>
        </w:rPr>
        <w:t xml:space="preserve"> supply the Panel with documentation which has already been provided by the Claimant</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It is sufficient to cross-reference to the Claimant</w:t>
      </w:r>
      <w:r w:rsidDel="00000000" w:rsidR="00000000" w:rsidRPr="00000000">
        <w:rPr>
          <w:rFonts w:ascii="Arial Narrow" w:cs="Arial Narrow" w:eastAsia="Arial Narrow" w:hAnsi="Arial Narrow"/>
          <w:i w:val="1"/>
          <w:rtl w:val="0"/>
        </w:rPr>
        <w:t xml:space="preserve">’s submission (e.g. ‘See Company A SRD, Appendix A).</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rtl w:val="0"/>
        </w:rPr>
        <w:t xml:space="preserve">T</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he Defendant </w:t>
      </w:r>
      <w:r w:rsidDel="00000000" w:rsidR="00000000" w:rsidRPr="00000000">
        <w:rPr>
          <w:rFonts w:ascii="Arial Narrow" w:cs="Arial Narrow" w:eastAsia="Arial Narrow" w:hAnsi="Arial Narrow"/>
          <w:i w:val="1"/>
          <w:rtl w:val="0"/>
        </w:rPr>
        <w:t xml:space="preserve">should confirm</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whether documentation which has been supplied by the Claimant is recognised as relevant to the dispute.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FROM THE DEFENDANT’S PERSPECTIVE OF EACH ISSUE IN DISPUTE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to identify those issues where the Defendant disagrees with the Claimant’s position, together with giving the reasons for that disagreement;</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qualifies or refutes the Claimant’s Case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not addressed by the Claimant that the Defendant considers should be taken into account as material to the determination</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Why the arguments raised in 4.1 to 4.3 taken together favour the position of the Defendant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The Defendant (most usually </w:t>
      </w:r>
      <w:r w:rsidDel="00000000" w:rsidR="00000000" w:rsidRPr="00000000">
        <w:rPr>
          <w:rFonts w:ascii="Arial Narrow" w:cs="Arial Narrow" w:eastAsia="Arial Narrow" w:hAnsi="Arial Narrow"/>
          <w:i w:val="1"/>
          <w:rtl w:val="0"/>
        </w:rPr>
        <w:t xml:space="preserve">Nexus</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brought before a Timetabling Panel should in any case keep in mind that in most cases the Panel needs to be given</w:t>
      </w:r>
    </w:p>
    <w:p w:rsidR="00000000" w:rsidDel="00000000" w:rsidP="00000000" w:rsidRDefault="00000000" w:rsidRPr="00000000" w14:paraId="00000034">
      <w:pPr>
        <w:numPr>
          <w:ilvl w:val="0"/>
          <w:numId w:val="5"/>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w:t>
      </w:r>
      <w:r w:rsidDel="00000000" w:rsidR="00000000" w:rsidRPr="00000000">
        <w:rPr>
          <w:rFonts w:ascii="Arial Narrow" w:cs="Arial Narrow" w:eastAsia="Arial Narrow" w:hAnsi="Arial Narrow"/>
          <w:i w:val="1"/>
          <w:rtl w:val="0"/>
        </w:rPr>
        <w:t xml:space="preserve">‘correct’</w:t>
      </w:r>
      <w:r w:rsidDel="00000000" w:rsidR="00000000" w:rsidRPr="00000000">
        <w:rPr>
          <w:rFonts w:ascii="Arial Narrow" w:cs="Arial Narrow" w:eastAsia="Arial Narrow" w:hAnsi="Arial Narrow"/>
          <w:i w:val="1"/>
          <w:vertAlign w:val="baseline"/>
          <w:rtl w:val="0"/>
        </w:rPr>
        <w:t xml:space="preserve"> position, the </w:t>
      </w:r>
      <w:r w:rsidDel="00000000" w:rsidR="00000000" w:rsidRPr="00000000">
        <w:rPr>
          <w:rFonts w:ascii="Arial Narrow" w:cs="Arial Narrow" w:eastAsia="Arial Narrow" w:hAnsi="Arial Narrow"/>
          <w:i w:val="1"/>
          <w:rtl w:val="0"/>
        </w:rPr>
        <w:t xml:space="preserve">reason(s) why the adopted position is the best-case</w:t>
      </w:r>
      <w:r w:rsidDel="00000000" w:rsidR="00000000" w:rsidRPr="00000000">
        <w:rPr>
          <w:rFonts w:ascii="Arial Narrow" w:cs="Arial Narrow" w:eastAsia="Arial Narrow" w:hAnsi="Arial Narrow"/>
          <w:i w:val="1"/>
          <w:vertAlign w:val="baseline"/>
          <w:rtl w:val="0"/>
        </w:rPr>
        <w:t xml:space="preserve">).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5">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36">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7">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38">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39">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w:t>
      </w:r>
      <w:r w:rsidDel="00000000" w:rsidR="00000000" w:rsidRPr="00000000">
        <w:rPr>
          <w:rFonts w:ascii="Arial Narrow" w:cs="Arial Narrow" w:eastAsia="Arial Narrow" w:hAnsi="Arial Narrow"/>
          <w:b w:val="1"/>
          <w:smallCaps w:val="1"/>
          <w:rtl w:val="0"/>
        </w:rPr>
        <w:t xml:space="preserve">CHAIR</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The Defendant should set out the outcome it is seeking from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’s determination, differentiating between</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E">
      <w:pPr>
        <w:spacing w:after="120" w:line="360" w:lineRule="auto"/>
        <w:rPr>
          <w:rFonts w:ascii="Arial Narrow" w:cs="Arial Narrow" w:eastAsia="Arial Narrow" w:hAnsi="Arial Narrow"/>
          <w:i w:val="1"/>
        </w:rPr>
      </w:pPr>
      <w:bookmarkStart w:colFirst="0" w:colLast="0" w:name="_heading=h.2et92p0" w:id="1"/>
      <w:bookmarkEnd w:id="1"/>
      <w:r w:rsidDel="00000000" w:rsidR="00000000" w:rsidRPr="00000000">
        <w:rPr>
          <w:rFonts w:ascii="Arial Narrow" w:cs="Arial Narrow" w:eastAsia="Arial Narrow" w:hAnsi="Arial Narrow"/>
          <w:i w:val="1"/>
          <w:rtl w:val="0"/>
        </w:rPr>
        <w:t xml:space="preserve">In all its arguments and representations, the Defendant should remember that the Chair is constrained by Metro ADR Rule A5 which states, “Each and every Forum shall reach its determination on the basis of the legal entitlements of the Dispute Parties and </w:t>
      </w:r>
      <w:r w:rsidDel="00000000" w:rsidR="00000000" w:rsidRPr="00000000">
        <w:rPr>
          <w:rFonts w:ascii="Arial Narrow" w:cs="Arial Narrow" w:eastAsia="Arial Narrow" w:hAnsi="Arial Narrow"/>
          <w:b w:val="1"/>
          <w:i w:val="1"/>
          <w:u w:val="single"/>
          <w:rtl w:val="0"/>
        </w:rPr>
        <w:t xml:space="preserve">upon no other basis</w:t>
      </w:r>
      <w:r w:rsidDel="00000000" w:rsidR="00000000" w:rsidRPr="00000000">
        <w:rPr>
          <w:rFonts w:ascii="Arial Narrow" w:cs="Arial Narrow" w:eastAsia="Arial Narrow" w:hAnsi="Arial Narrow"/>
          <w:i w:val="1"/>
          <w:rtl w:val="0"/>
        </w:rPr>
        <w:t xml:space="preserve">.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The Defendant will have a clear reason why it has not already settled the dispute, and the result that it wishes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therefore for it to set down clearly </w:t>
      </w:r>
      <w:r w:rsidDel="00000000" w:rsidR="00000000" w:rsidRPr="00000000">
        <w:rPr>
          <w:rFonts w:ascii="Arial Narrow" w:cs="Arial Narrow" w:eastAsia="Arial Narrow" w:hAnsi="Arial Narrow"/>
          <w:i w:val="1"/>
          <w:rtl w:val="0"/>
        </w:rPr>
        <w:t xml:space="preserve">why</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it wants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to find in its favour.  Logically, when preparing the response submission, the decision sought from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should be the first thing finalised, and arguments then marshalled to support the case for that outcome. That said, the Defendant should be clear that the decision sought is one that a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can give.</w:t>
      </w:r>
    </w:p>
    <w:p w:rsidR="00000000" w:rsidDel="00000000" w:rsidP="00000000" w:rsidRDefault="00000000" w:rsidRPr="00000000" w14:paraId="0000004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Claimant will have set out any specific remedies</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sought</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Remedy is what the aggrieved Party contends it should be granted if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finds in its favour.   Access agreements are frequently prescriptive about such matters, and there are no benefits to be won from advancing arguments for remedies that lie outside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’s powers </w:t>
      </w:r>
      <w:r w:rsidDel="00000000" w:rsidR="00000000" w:rsidRPr="00000000">
        <w:rPr>
          <w:rFonts w:ascii="Arial Narrow" w:cs="Arial Narrow" w:eastAsia="Arial Narrow" w:hAnsi="Arial Narrow"/>
          <w:i w:val="1"/>
          <w:rtl w:val="0"/>
        </w:rPr>
        <w:t xml:space="preserve">which are governed by </w:t>
      </w:r>
      <w:r w:rsidDel="00000000" w:rsidR="00000000" w:rsidRPr="00000000">
        <w:rPr>
          <w:rFonts w:ascii="Arial Narrow" w:cs="Arial Narrow" w:eastAsia="Arial Narrow" w:hAnsi="Arial Narrow"/>
          <w:b w:val="1"/>
          <w:i w:val="1"/>
          <w:rtl w:val="0"/>
        </w:rPr>
        <w:t xml:space="preserve">Metro ADR Rule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rtl w:val="0"/>
        </w:rPr>
        <w:t xml:space="preserve">A6</w:t>
      </w:r>
      <w:r w:rsidDel="00000000" w:rsidR="00000000" w:rsidRPr="00000000">
        <w:rPr>
          <w:rFonts w:ascii="Arial Narrow" w:cs="Arial Narrow" w:eastAsia="Arial Narrow" w:hAnsi="Arial Narrow"/>
          <w:i w:val="1"/>
          <w:rtl w:val="0"/>
        </w:rPr>
        <w:t xml:space="preserve">, which states:</w:t>
      </w:r>
      <w:r w:rsidDel="00000000" w:rsidR="00000000" w:rsidRPr="00000000">
        <w:rPr>
          <w:rtl w:val="0"/>
        </w:rPr>
      </w:r>
    </w:p>
    <w:p w:rsidR="00000000" w:rsidDel="00000000" w:rsidP="00000000" w:rsidRDefault="00000000" w:rsidRPr="00000000" w14:paraId="00000041">
      <w:pPr>
        <w:numPr>
          <w:ilvl w:val="1"/>
          <w:numId w:val="6"/>
        </w:numPr>
        <w:spacing w:after="120" w:line="360" w:lineRule="auto"/>
        <w:ind w:left="709"/>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“Each and every Forum shall:</w:t>
      </w:r>
      <w:r w:rsidDel="00000000" w:rsidR="00000000" w:rsidRPr="00000000">
        <w:rPr>
          <w:rtl w:val="0"/>
        </w:rPr>
      </w:r>
    </w:p>
    <w:p w:rsidR="00000000" w:rsidDel="00000000" w:rsidP="00000000" w:rsidRDefault="00000000" w:rsidRPr="00000000" w14:paraId="00000042">
      <w:pPr>
        <w:spacing w:after="120" w:line="360" w:lineRule="auto"/>
        <w:ind w:left="709"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where the Access Conditions or Underlying Contract require that a specific remedy be granted, grant that remedy accordingly; or</w:t>
      </w:r>
    </w:p>
    <w:p w:rsidR="00000000" w:rsidDel="00000000" w:rsidP="00000000" w:rsidRDefault="00000000" w:rsidRPr="00000000" w14:paraId="00000043">
      <w:pPr>
        <w:spacing w:after="120" w:line="360" w:lineRule="auto"/>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 Where a specific remedy is provided for at law, grant that remedy accordingly; or</w:t>
      </w:r>
      <w:r w:rsidDel="00000000" w:rsidR="00000000" w:rsidRPr="00000000">
        <w:rPr>
          <w:rtl w:val="0"/>
        </w:rPr>
      </w:r>
    </w:p>
    <w:p w:rsidR="00000000" w:rsidDel="00000000" w:rsidP="00000000" w:rsidRDefault="00000000" w:rsidRPr="00000000" w14:paraId="00000044">
      <w:pPr>
        <w:spacing w:after="120" w:line="360" w:lineRule="auto"/>
        <w:ind w:left="709"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 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Where a Defendant wishes to argue for an exercise of “discretion” as in (c) above, it must consider whether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 has such discretion given the provisions of (a) and (b).</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1"/>
          <w:smallCaps w:val="0"/>
          <w:strike w:val="0"/>
          <w:color w:val="000000"/>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The Defendant confirms that it has complied with </w:t>
      </w:r>
      <w:r w:rsidDel="00000000" w:rsidR="00000000" w:rsidRPr="00000000">
        <w:rPr>
          <w:rFonts w:ascii="Arial Narrow" w:cs="Arial Narrow" w:eastAsia="Arial Narrow" w:hAnsi="Arial Narrow"/>
          <w:rtl w:val="0"/>
        </w:rPr>
        <w:t xml:space="preserve">Metro</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 A</w:t>
      </w:r>
      <w:r w:rsidDel="00000000" w:rsidR="00000000" w:rsidRPr="00000000">
        <w:rPr>
          <w:rFonts w:ascii="Arial Narrow" w:cs="Arial Narrow" w:eastAsia="Arial Narrow" w:hAnsi="Arial Narrow"/>
          <w:rtl w:val="0"/>
        </w:rPr>
        <w:t xml:space="preserve">Access Dispute Resolution Rule H21 </w:t>
      </w:r>
      <w:r w:rsidDel="00000000" w:rsidR="00000000" w:rsidRPr="00000000">
        <w:rPr>
          <w:rFonts w:ascii="Arial Narrow" w:cs="Arial Narrow" w:eastAsia="Arial Narrow" w:hAnsi="Arial Narrow"/>
          <w:i w:val="1"/>
          <w:rtl w:val="0"/>
        </w:rPr>
        <w:t xml:space="preserve">[which requires that “copies of the following Documents … shall be annexed and cross referenced to the reference: (a)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contractual Documents containing the provision(s) under which the referral to the Timetabling Panel arises and/or provision(s) associated with the substance of the dispute; and (b)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any other Documents referred to in the reference”</w:t>
      </w:r>
    </w:p>
    <w:p w:rsidR="00000000" w:rsidDel="00000000" w:rsidP="00000000" w:rsidRDefault="00000000" w:rsidRPr="00000000" w14:paraId="0000004A">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Note:  It is undesirable for complete documents to be provided to the Panel – relevant extracts which demonstrate the Parties’ respective positions are sufficient.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 of Access Conditions/ the </w:t>
      </w:r>
      <w:r w:rsidDel="00000000" w:rsidR="00000000" w:rsidRPr="00000000">
        <w:rPr>
          <w:rFonts w:ascii="Arial Narrow" w:cs="Arial Narrow" w:eastAsia="Arial Narrow" w:hAnsi="Arial Narrow"/>
          <w:rtl w:val="0"/>
        </w:rPr>
        <w:t xml:space="preserve">Metro</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 Network Code are included where the dispute relates to previous (i.e. no longer current) versions of these documents.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All appendices and annexes are bound into the submission and consecutively page numbered.  To assist the Panel, quotations or references that are cited in the formal submission are highlighted (or side-lined) so that the context of the quotation or reference is apparent.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4146.0" w:type="dxa"/>
        <w:jc w:val="left"/>
        <w:tblInd w:w="0.0" w:type="dxa"/>
        <w:tblLayout w:type="fixed"/>
        <w:tblLook w:val="0000"/>
      </w:tblPr>
      <w:tblGrid>
        <w:gridCol w:w="4146"/>
        <w:tblGridChange w:id="0">
          <w:tblGrid>
            <w:gridCol w:w="4146"/>
          </w:tblGrid>
        </w:tblGridChange>
      </w:tblGrid>
      <w:tr>
        <w:trPr>
          <w:cantSplit w:val="0"/>
          <w:tblHeader w:val="0"/>
        </w:trPr>
        <w:tc>
          <w:tcPr>
            <w:vAlign w:val="top"/>
          </w:tcPr>
          <w:p w:rsidR="00000000" w:rsidDel="00000000" w:rsidP="00000000" w:rsidRDefault="00000000" w:rsidRPr="00000000" w14:paraId="0000005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1">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t>
            </w:r>
            <w:r w:rsidDel="00000000" w:rsidR="00000000" w:rsidRPr="00000000">
              <w:rPr>
                <w:rFonts w:ascii="Arial Narrow" w:cs="Arial Narrow" w:eastAsia="Arial Narrow" w:hAnsi="Arial Narrow"/>
                <w:i w:val="1"/>
                <w:rtl w:val="0"/>
              </w:rPr>
              <w:t xml:space="preserve">Company name </w:t>
            </w:r>
            <w:r w:rsidDel="00000000" w:rsidR="00000000" w:rsidRPr="00000000">
              <w:rPr>
                <w:rFonts w:ascii="Arial Narrow" w:cs="Arial Narrow" w:eastAsia="Arial Narrow" w:hAnsi="Arial Narrow"/>
                <w:vertAlign w:val="baseline"/>
                <w:rtl w:val="0"/>
              </w:rPr>
              <w:t xml:space="preserve">Limited</w:t>
            </w:r>
            <w:r w:rsidDel="00000000" w:rsidR="00000000" w:rsidRPr="00000000">
              <w:rPr>
                <w:rFonts w:ascii="Arial Narrow" w:cs="Arial Narrow" w:eastAsia="Arial Narrow" w:hAnsi="Arial Narrow"/>
                <w:i w:val="1"/>
                <w:vertAlign w:val="baseline"/>
                <w:rtl w:val="0"/>
              </w:rPr>
              <w:t xml:space="preserve">]</w:t>
            </w: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Print Name</w:t>
            </w:r>
          </w:p>
          <w:p w:rsidR="00000000" w:rsidDel="00000000" w:rsidP="00000000" w:rsidRDefault="00000000" w:rsidRPr="00000000" w14:paraId="0000005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5C">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E">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Panel with assurance that the dispute has been referred to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5F">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it shall … ensure that (a) the competencies, skills and knowledge of any chosen representative are appropriate to the issues involved in the dispute (content, subject and value)” [Metro ADR Rule A19]</w:t>
      </w:r>
    </w:p>
    <w:p w:rsidR="00000000" w:rsidDel="00000000" w:rsidP="00000000" w:rsidRDefault="00000000" w:rsidRPr="00000000" w14:paraId="00000060">
      <w:pPr>
        <w:spacing w:after="120" w:line="360"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i w:val="1"/>
          <w:rtl w:val="0"/>
        </w:rPr>
        <w:t xml:space="preserve">Now provide the Appendices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sz w:val="28"/>
          <w:szCs w:val="28"/>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p w:rsidR="00000000" w:rsidDel="00000000" w:rsidP="00000000" w:rsidRDefault="00000000" w:rsidRPr="00000000" w14:paraId="00000061">
      <w:pPr>
        <w:pStyle w:val="Heading1"/>
        <w:keepLines w:val="0"/>
        <w:spacing w:after="6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1"/>
        </w:rPr>
      </w:pP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bJcmrAt8sChDgMbioXdC/A4cA==">AMUW2mV1hb/BkYF8N4nz/GpTMxxqwRBbiYVMkEEVVIVZnLCQQ4H3k6KQwEuQDcDMndZ1AZEjj5OQ+6ogc88mHIMNVvwFaHWmzMc2Q++7ABf7RZZms2YJKNe1g7UC4XaEnxRzFM+/OUoH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2015-10-29T15:44:00Z</dcterms:created>
  <dc:creator>Shrubsole</dc:creator>
</cp:coreProperties>
</file>