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 for a Sole Reference by a Claimant to a Timetabling Panel in accordance with the provisions of Chapter H of the </w:t>
      </w:r>
      <w:r w:rsidDel="00000000" w:rsidR="00000000" w:rsidRPr="00000000">
        <w:rPr>
          <w:rFonts w:ascii="Arial Narrow" w:cs="Arial Narrow" w:eastAsia="Arial Narrow" w:hAnsi="Arial Narrow"/>
          <w:b w:val="1"/>
          <w:i w:val="1"/>
          <w:sz w:val="36"/>
          <w:szCs w:val="36"/>
          <w:rtl w:val="0"/>
        </w:rPr>
        <w:t xml:space="preserve">Metro</w:t>
      </w:r>
      <w:r w:rsidDel="00000000" w:rsidR="00000000" w:rsidRPr="00000000">
        <w:rPr>
          <w:rFonts w:ascii="Arial Narrow" w:cs="Arial Narrow" w:eastAsia="Arial Narrow" w:hAnsi="Arial Narrow"/>
          <w:b w:val="1"/>
          <w:i w:val="1"/>
          <w:sz w:val="36"/>
          <w:szCs w:val="36"/>
          <w:vertAlign w:val="baseline"/>
          <w:rtl w:val="0"/>
        </w:rPr>
        <w:t xml:space="preserve"> ADR Rules </w:t>
      </w:r>
      <w:r w:rsidDel="00000000" w:rsidR="00000000" w:rsidRPr="00000000">
        <w:rPr>
          <w:rtl w:val="0"/>
        </w:rPr>
      </w:r>
    </w:p>
    <w:p w:rsidR="00000000" w:rsidDel="00000000" w:rsidP="00000000" w:rsidRDefault="00000000" w:rsidRPr="00000000" w14:paraId="00000002">
      <w:pPr>
        <w:spacing w:after="120" w:lineRule="auto"/>
        <w:rPr>
          <w:i w:val="0"/>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This template, as required by </w:t>
      </w:r>
      <w:r w:rsidDel="00000000" w:rsidR="00000000" w:rsidRPr="00000000">
        <w:rPr>
          <w:rFonts w:ascii="Arial Narrow" w:cs="Arial Narrow" w:eastAsia="Arial Narrow" w:hAnsi="Arial Narrow"/>
          <w:i w:val="1"/>
          <w:sz w:val="22"/>
          <w:szCs w:val="22"/>
          <w:rtl w:val="0"/>
        </w:rPr>
        <w:t xml:space="preserve">Metro</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ADR Rule H21(b), is to be used by the Claimant Dispute Party to prepare a Submission for a Timetabling Panel hearing. Within the template, text in italics is advisory and should, once taken into account, be deleted from the final document.</w:t>
      </w:r>
    </w:p>
    <w:p w:rsidR="00000000" w:rsidDel="00000000" w:rsidP="00000000" w:rsidRDefault="00000000" w:rsidRPr="00000000" w14:paraId="00000004">
      <w:pPr>
        <w:pStyle w:val="Heading3"/>
        <w:spacing w:after="120" w:before="0" w:lineRule="auto"/>
        <w:rPr>
          <w:rFonts w:ascii="Arial Narrow" w:cs="Arial Narrow" w:eastAsia="Arial Narrow" w:hAnsi="Arial Narrow"/>
          <w:i w:val="0"/>
          <w:sz w:val="22"/>
          <w:szCs w:val="22"/>
          <w:vertAlign w:val="baseline"/>
        </w:rPr>
      </w:pPr>
      <w:bookmarkStart w:colFirst="0" w:colLast="0" w:name="_heading=h.gjdgxs" w:id="0"/>
      <w:bookmarkEnd w:id="0"/>
      <w:r w:rsidDel="00000000" w:rsidR="00000000" w:rsidRPr="00000000">
        <w:rPr>
          <w:rFonts w:ascii="Arial Narrow" w:cs="Arial Narrow" w:eastAsia="Arial Narrow" w:hAnsi="Arial Narrow"/>
          <w:i w:val="1"/>
          <w:sz w:val="22"/>
          <w:szCs w:val="22"/>
          <w:vertAlign w:val="baseline"/>
          <w:rtl w:val="0"/>
        </w:rPr>
        <w:t xml:space="preserve">Preamble</w:t>
      </w:r>
      <w:r w:rsidDel="00000000" w:rsidR="00000000" w:rsidRPr="00000000">
        <w:rPr>
          <w:rtl w:val="0"/>
        </w:rPr>
      </w:r>
    </w:p>
    <w:p w:rsidR="00000000" w:rsidDel="00000000" w:rsidP="00000000" w:rsidRDefault="00000000" w:rsidRPr="00000000" w14:paraId="00000005">
      <w:pPr>
        <w:spacing w:after="120" w:line="360" w:lineRule="auto"/>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The detailed management and determination of each individual dispute heard by a Timetabling Panel shall be subject to the direction of the Hearing Chair.   ADR Rule H20 provides that, “Upon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Given that many Timetabling Disputes are subject to the time constraints of the timetabling process, template formats are provided in order that the Parties shall be prompted to ensure that all material relevant to their respective arguments is available in a timely manner</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i w:val="1"/>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to the other Dispute Party/Parties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i w:val="1"/>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to the Timetabling Panel in good time for the hearing, and</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i w:val="1"/>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to be published on the ADC website;</w:t>
      </w:r>
    </w:p>
    <w:p w:rsidR="00000000" w:rsidDel="00000000" w:rsidP="00000000" w:rsidRDefault="00000000" w:rsidRPr="00000000" w14:paraId="0000000A">
      <w:pPr>
        <w:spacing w:after="120" w:line="360" w:lineRule="auto"/>
        <w:ind w:left="0" w:firstLine="0"/>
        <w:rPr>
          <w:rFonts w:ascii="Arial Narrow" w:cs="Arial Narrow" w:eastAsia="Arial Narrow" w:hAnsi="Arial Narrow"/>
          <w:sz w:val="22"/>
          <w:szCs w:val="22"/>
        </w:rPr>
      </w:pPr>
      <w:r w:rsidDel="00000000" w:rsidR="00000000" w:rsidRPr="00000000">
        <w:rPr>
          <w:rFonts w:ascii="Arial Narrow" w:cs="Arial Narrow" w:eastAsia="Arial Narrow" w:hAnsi="Arial Narrow"/>
          <w:i w:val="1"/>
          <w:sz w:val="22"/>
          <w:szCs w:val="22"/>
          <w:rtl w:val="0"/>
        </w:rPr>
        <w:t xml:space="preserve">always bearing in mind that “an oral hearing lasting no more than one day shall be conducted.” (ADR Rule H21(d)) , and that</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1"/>
          <w:sz w:val="22"/>
          <w:szCs w:val="22"/>
          <w:rtl w:val="0"/>
        </w:rPr>
        <w:t xml:space="preserve">“The length of every reference and response shall be in proportion to the nature and complexity of the dispute. Unless otherwise agreed by the Hearing Chair, the maximum length of submissions shall be as follows: … (b) a sole reference or response shall be no longer than 10 pages.” (ADR Rule H23).</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1"/>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p>
    <w:p w:rsidR="00000000" w:rsidDel="00000000" w:rsidP="00000000" w:rsidRDefault="00000000" w:rsidRPr="00000000" w14:paraId="0000000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[[Full Company name </w:t>
      </w:r>
      <w:r w:rsidDel="00000000" w:rsidR="00000000" w:rsidRPr="00000000">
        <w:rPr>
          <w:rFonts w:ascii="Arial Narrow" w:cs="Arial Narrow" w:eastAsia="Arial Narrow" w:hAnsi="Arial Narrow"/>
          <w:rtl w:val="0"/>
        </w:rPr>
        <w:t xml:space="preserve">Limited</w:t>
      </w:r>
      <w:r w:rsidDel="00000000" w:rsidR="00000000" w:rsidRPr="00000000">
        <w:rPr>
          <w:rFonts w:ascii="Arial Narrow" w:cs="Arial Narrow" w:eastAsia="Arial Narrow" w:hAnsi="Arial Narrow"/>
          <w:i w:val="1"/>
          <w:rtl w:val="0"/>
        </w:rPr>
        <w:t xml:space="preserve">]</w:t>
      </w:r>
      <w:r w:rsidDel="00000000" w:rsidR="00000000" w:rsidRPr="00000000">
        <w:rPr>
          <w:rFonts w:ascii="Arial Narrow" w:cs="Arial Narrow" w:eastAsia="Arial Narrow" w:hAnsi="Arial Narrow"/>
          <w:rtl w:val="0"/>
        </w:rPr>
        <w:t xml:space="preserve"> (Company number</w:t>
      </w:r>
      <w:r w:rsidDel="00000000" w:rsidR="00000000" w:rsidRPr="00000000">
        <w:rPr>
          <w:rFonts w:ascii="Arial Narrow" w:cs="Arial Narrow" w:eastAsia="Arial Narrow" w:hAnsi="Arial Narrow"/>
          <w:i w:val="1"/>
          <w:rtl w:val="0"/>
        </w:rPr>
        <w:t xml:space="preserve"> xxxxxxxxxx</w:t>
      </w:r>
      <w:r w:rsidDel="00000000" w:rsidR="00000000" w:rsidRPr="00000000">
        <w:rPr>
          <w:rFonts w:ascii="Arial Narrow" w:cs="Arial Narrow" w:eastAsia="Arial Narrow" w:hAnsi="Arial Narrow"/>
          <w:rtl w:val="0"/>
        </w:rPr>
        <w:t xml:space="preserve">) whose Registered Office is at </w:t>
      </w:r>
      <w:r w:rsidDel="00000000" w:rsidR="00000000" w:rsidRPr="00000000">
        <w:rPr>
          <w:rFonts w:ascii="Arial Narrow" w:cs="Arial Narrow" w:eastAsia="Arial Narrow" w:hAnsi="Arial Narrow"/>
          <w:i w:val="1"/>
          <w:rtl w:val="0"/>
        </w:rPr>
        <w:t xml:space="preserve">[Full address] ("[insert short form or abbreviation for Company name]" </w:t>
      </w:r>
      <w:r w:rsidDel="00000000" w:rsidR="00000000" w:rsidRPr="00000000">
        <w:rPr>
          <w:rFonts w:ascii="Arial Narrow" w:cs="Arial Narrow" w:eastAsia="Arial Narrow" w:hAnsi="Arial Narrow"/>
          <w:rtl w:val="0"/>
        </w:rPr>
        <w:t xml:space="preserve">("the Claimant")); and</w:t>
      </w:r>
    </w:p>
    <w:p w:rsidR="00000000" w:rsidDel="00000000" w:rsidP="00000000" w:rsidRDefault="00000000" w:rsidRPr="00000000" w14:paraId="0000001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rtl w:val="0"/>
        </w:rPr>
        <w:t xml:space="preserve">[Full company name </w:t>
      </w:r>
      <w:r w:rsidDel="00000000" w:rsidR="00000000" w:rsidRPr="00000000">
        <w:rPr>
          <w:rFonts w:ascii="Arial Narrow" w:cs="Arial Narrow" w:eastAsia="Arial Narrow" w:hAnsi="Arial Narrow"/>
          <w:rtl w:val="0"/>
        </w:rPr>
        <w:t xml:space="preserve">Limited</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rtl w:val="0"/>
        </w:rPr>
        <w:t xml:space="preserve">(Company number </w:t>
      </w:r>
      <w:r w:rsidDel="00000000" w:rsidR="00000000" w:rsidRPr="00000000">
        <w:rPr>
          <w:rFonts w:ascii="Arial Narrow" w:cs="Arial Narrow" w:eastAsia="Arial Narrow" w:hAnsi="Arial Narrow"/>
          <w:i w:val="1"/>
          <w:rtl w:val="0"/>
        </w:rPr>
        <w:t xml:space="preserve">xxxxxxxxxx</w:t>
      </w:r>
      <w:r w:rsidDel="00000000" w:rsidR="00000000" w:rsidRPr="00000000">
        <w:rPr>
          <w:rFonts w:ascii="Arial Narrow" w:cs="Arial Narrow" w:eastAsia="Arial Narrow" w:hAnsi="Arial Narrow"/>
          <w:rtl w:val="0"/>
        </w:rPr>
        <w:t xml:space="preserve">) whose Registered Office is at</w:t>
      </w:r>
      <w:r w:rsidDel="00000000" w:rsidR="00000000" w:rsidRPr="00000000">
        <w:rPr>
          <w:rFonts w:ascii="Arial Narrow" w:cs="Arial Narrow" w:eastAsia="Arial Narrow" w:hAnsi="Arial Narrow"/>
          <w:i w:val="1"/>
          <w:rtl w:val="0"/>
        </w:rPr>
        <w:t xml:space="preserve"> [Full address] ("[insert short form or abbreviation for Company name]" </w:t>
      </w:r>
      <w:r w:rsidDel="00000000" w:rsidR="00000000" w:rsidRPr="00000000">
        <w:rPr>
          <w:rFonts w:ascii="Arial Narrow" w:cs="Arial Narrow" w:eastAsia="Arial Narrow" w:hAnsi="Arial Narrow"/>
          <w:rtl w:val="0"/>
        </w:rPr>
        <w:t xml:space="preserve">("the Defendant")).</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Include correspondence address, contact details and e-mail address if different.</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Claimant is aware that any third party may be affected by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finding in any of the ways sought in this sole reference, it should ensure that this information is conveyed to the Secretary of the ADC at the earliest possible opportunity, and the names of the relevant parties recorded here.</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affected Parties should seek the guidance of the Hearing Chair (via the secretary) as to any format to be used in respect of their representations.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CLAIMANT’S’ RIGHT TO BRING THIS REFERENCE</w:t>
      </w:r>
    </w:p>
    <w:p w:rsidR="00000000" w:rsidDel="00000000" w:rsidP="00000000" w:rsidRDefault="00000000" w:rsidRPr="00000000" w14:paraId="0000001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 Timetabling Panel ("the Panel") for determination in accordance with Condition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needs to make explicitly clear what provisions of its contract entitle, or direct, it to bring its dispute before a Timetabling Panel.</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Sole Reference includes:-</w:t>
      </w:r>
    </w:p>
    <w:p w:rsidR="00000000" w:rsidDel="00000000" w:rsidP="00000000" w:rsidRDefault="00000000" w:rsidRPr="00000000" w14:paraId="0000001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subject matter of the dispute in Section 4;</w:t>
      </w:r>
    </w:p>
    <w:p w:rsidR="00000000" w:rsidDel="00000000" w:rsidP="00000000" w:rsidRDefault="00000000" w:rsidRPr="00000000" w14:paraId="0000001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detailed explanation of the issues in dispute in Section 5;</w:t>
      </w:r>
    </w:p>
    <w:p w:rsidR="00000000" w:rsidDel="00000000" w:rsidP="00000000" w:rsidRDefault="00000000" w:rsidRPr="00000000" w14:paraId="0000001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 Section 6, the decisions sought from the </w:t>
      </w:r>
      <w:r w:rsidDel="00000000" w:rsidR="00000000" w:rsidRPr="00000000">
        <w:rPr>
          <w:rFonts w:ascii="Arial Narrow" w:cs="Arial Narrow" w:eastAsia="Arial Narrow" w:hAnsi="Arial Narrow"/>
          <w:rtl w:val="0"/>
        </w:rPr>
        <w:t xml:space="preserve">Chair</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in respect of</w:t>
      </w:r>
    </w:p>
    <w:p w:rsidR="00000000" w:rsidDel="00000000" w:rsidP="00000000" w:rsidRDefault="00000000" w:rsidRPr="00000000" w14:paraId="0000001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legal entitlement, and</w:t>
      </w:r>
    </w:p>
    <w:p w:rsidR="00000000" w:rsidDel="00000000" w:rsidP="00000000" w:rsidRDefault="00000000" w:rsidRPr="00000000" w14:paraId="0000001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remedies;</w:t>
      </w:r>
    </w:p>
    <w:p w:rsidR="00000000" w:rsidDel="00000000" w:rsidP="00000000" w:rsidRDefault="00000000" w:rsidRPr="00000000" w14:paraId="0000001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Appendices and other supporting material.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Initially provide very brief details of the dispute.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is a dispute regarding the allocation of capacity during a restriction of use.”</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Then provide details of the Condition in Part D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or the relevant provisions of the Track Access Contract that the dispute relates to, or is associated with.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dispute arises over the interpretation of Condition ●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/section ●/Schedule ● of the Track Access Contract</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4.3</w:t>
        <w:tab/>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Then set out such relevant background information as is necessary to ensure a common level of understanding of all members of the Panel, including any further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in the contract, there is a relevant process with defined stages (e.g. consultation, responses within a set timescale, decision with reason),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Ensure that a copy of the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relevant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extract(s)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from the document(s) referred to above is/are provided as Appendices.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It can be assumed that Timetabling Panel Members will have access to a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current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edition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However,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the Claimant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 Claimant should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Panel Members have personal copies or knowledge of the relevant parts (in particular any Schedules) of the specific access agreements whether or not governed by Model Clauses. The Committee Secretariat is available to give advice.</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are relevant to the dispute.  The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relevant parts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must also be copied and annexed to this submission document.</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left"/>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OF EACH ISSUE IN DISPUTE AND THE CLAIMANT’S ARGUMENTS TO SUPPORT ITS CASE</w:t>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Issue 1</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Issue 2</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etc., etc.</w:t>
      </w:r>
      <w:r w:rsidDel="00000000" w:rsidR="00000000" w:rsidRPr="00000000">
        <w:rPr>
          <w:rtl w:val="0"/>
        </w:rPr>
      </w:r>
    </w:p>
    <w:p w:rsidR="00000000" w:rsidDel="00000000" w:rsidP="00000000" w:rsidRDefault="00000000" w:rsidRPr="00000000" w14:paraId="00000031">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the Claimant should keep in mind that the Panel needs to be given</w:t>
      </w:r>
      <w:r w:rsidDel="00000000" w:rsidR="00000000" w:rsidRPr="00000000">
        <w:rPr>
          <w:rtl w:val="0"/>
        </w:rPr>
      </w:r>
    </w:p>
    <w:p w:rsidR="00000000" w:rsidDel="00000000" w:rsidP="00000000" w:rsidRDefault="00000000" w:rsidRPr="00000000" w14:paraId="00000032">
      <w:pPr>
        <w:numPr>
          <w:ilvl w:val="0"/>
          <w:numId w:val="7"/>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Claimant’s position. Where the argument requires reference to any contractual provision, the precise </w:t>
      </w:r>
      <w:r w:rsidDel="00000000" w:rsidR="00000000" w:rsidRPr="00000000">
        <w:rPr>
          <w:rFonts w:ascii="Arial Narrow" w:cs="Arial Narrow" w:eastAsia="Arial Narrow" w:hAnsi="Arial Narrow"/>
          <w:i w:val="1"/>
          <w:u w:val="single"/>
          <w:vertAlign w:val="baseline"/>
          <w:rtl w:val="0"/>
        </w:rPr>
        <w:t xml:space="preserve">extract</w:t>
      </w:r>
      <w:r w:rsidDel="00000000" w:rsidR="00000000" w:rsidRPr="00000000">
        <w:rPr>
          <w:rFonts w:ascii="Arial Narrow" w:cs="Arial Narrow" w:eastAsia="Arial Narrow" w:hAnsi="Arial Narrow"/>
          <w:i w:val="1"/>
          <w:vertAlign w:val="baseline"/>
          <w:rtl w:val="0"/>
        </w:rPr>
        <w:t xml:space="preserve"> should be quoted verbatim;</w:t>
      </w:r>
      <w:r w:rsidDel="00000000" w:rsidR="00000000" w:rsidRPr="00000000">
        <w:rPr>
          <w:rtl w:val="0"/>
        </w:rPr>
      </w:r>
    </w:p>
    <w:p w:rsidR="00000000" w:rsidDel="00000000" w:rsidP="00000000" w:rsidRDefault="00000000" w:rsidRPr="00000000" w14:paraId="00000033">
      <w:pPr>
        <w:numPr>
          <w:ilvl w:val="0"/>
          <w:numId w:val="6"/>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Claimant is in dispute, such that the extent of the differences between the Parties can be clearly appreciated;</w:t>
      </w:r>
      <w:r w:rsidDel="00000000" w:rsidR="00000000" w:rsidRPr="00000000">
        <w:rPr>
          <w:rtl w:val="0"/>
        </w:rPr>
      </w:r>
    </w:p>
    <w:p w:rsidR="00000000" w:rsidDel="00000000" w:rsidP="00000000" w:rsidRDefault="00000000" w:rsidRPr="00000000" w14:paraId="00000034">
      <w:pPr>
        <w:numPr>
          <w:ilvl w:val="0"/>
          <w:numId w:val="6"/>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as to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35">
      <w:pPr>
        <w:numPr>
          <w:ilvl w:val="0"/>
          <w:numId w:val="6"/>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dispute (e.g. numbers of trains potentially affected, ditto passengers or freight customers, order of magnitude of any financial impact);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36">
      <w:pPr>
        <w:numPr>
          <w:ilvl w:val="0"/>
          <w:numId w:val="6"/>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37">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w:t>
      </w:r>
      <w:r w:rsidDel="00000000" w:rsidR="00000000" w:rsidRPr="00000000">
        <w:rPr>
          <w:rFonts w:ascii="Arial Narrow" w:cs="Arial Narrow" w:eastAsia="Arial Narrow" w:hAnsi="Arial Narrow"/>
          <w:b w:val="1"/>
          <w:smallCaps w:val="1"/>
          <w:rtl w:val="0"/>
        </w:rPr>
        <w:t xml:space="preserve">CHAIR</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should set out the outcome it is seeking from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 determination, differentiating between </w:t>
      </w:r>
      <w:r w:rsidDel="00000000" w:rsidR="00000000" w:rsidRPr="00000000">
        <w:rPr>
          <w:rtl w:val="0"/>
        </w:rPr>
      </w:r>
    </w:p>
    <w:p w:rsidR="00000000" w:rsidDel="00000000" w:rsidP="00000000" w:rsidRDefault="00000000" w:rsidRPr="00000000" w14:paraId="0000003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3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3C">
      <w:pPr>
        <w:spacing w:after="120" w:line="360" w:lineRule="auto"/>
        <w:rPr>
          <w:rFonts w:ascii="Arial Narrow" w:cs="Arial Narrow" w:eastAsia="Arial Narrow" w:hAnsi="Arial Narrow"/>
          <w:i w:val="1"/>
        </w:rPr>
      </w:pPr>
      <w:bookmarkStart w:colFirst="0" w:colLast="0" w:name="_heading=h.2et92p0" w:id="1"/>
      <w:bookmarkEnd w:id="1"/>
      <w:r w:rsidDel="00000000" w:rsidR="00000000" w:rsidRPr="00000000">
        <w:rPr>
          <w:rFonts w:ascii="Arial Narrow" w:cs="Arial Narrow" w:eastAsia="Arial Narrow" w:hAnsi="Arial Narrow"/>
          <w:i w:val="1"/>
          <w:rtl w:val="0"/>
        </w:rPr>
        <w:t xml:space="preserve">In all its arguments and representations, the Claimant should remember that the Chair is constrained by </w:t>
      </w:r>
      <w:r w:rsidDel="00000000" w:rsidR="00000000" w:rsidRPr="00000000">
        <w:rPr>
          <w:rFonts w:ascii="Arial Narrow" w:cs="Arial Narrow" w:eastAsia="Arial Narrow" w:hAnsi="Arial Narrow"/>
          <w:i w:val="1"/>
          <w:rtl w:val="0"/>
        </w:rPr>
        <w:t xml:space="preserve">Metro ADR Rule A5</w:t>
      </w:r>
      <w:r w:rsidDel="00000000" w:rsidR="00000000" w:rsidRPr="00000000">
        <w:rPr>
          <w:rFonts w:ascii="Arial Narrow" w:cs="Arial Narrow" w:eastAsia="Arial Narrow" w:hAnsi="Arial Narrow"/>
          <w:i w:val="1"/>
          <w:rtl w:val="0"/>
        </w:rPr>
        <w:t xml:space="preserve"> which states, </w:t>
      </w:r>
      <w:r w:rsidDel="00000000" w:rsidR="00000000" w:rsidRPr="00000000">
        <w:rPr>
          <w:rFonts w:ascii="Arial Narrow" w:cs="Arial Narrow" w:eastAsia="Arial Narrow" w:hAnsi="Arial Narrow"/>
          <w:i w:val="1"/>
          <w:rtl w:val="0"/>
        </w:rPr>
        <w:t xml:space="preserve">“Each and every Forum shall reach its determination on the basis of the legal entitlements of the Dispute Parties and </w:t>
      </w:r>
      <w:r w:rsidDel="00000000" w:rsidR="00000000" w:rsidRPr="00000000">
        <w:rPr>
          <w:rFonts w:ascii="Arial Narrow" w:cs="Arial Narrow" w:eastAsia="Arial Narrow" w:hAnsi="Arial Narrow"/>
          <w:b w:val="1"/>
          <w:i w:val="1"/>
          <w:u w:val="single"/>
          <w:rtl w:val="0"/>
        </w:rPr>
        <w:t xml:space="preserve">upon no other basis</w:t>
      </w:r>
      <w:r w:rsidDel="00000000" w:rsidR="00000000" w:rsidRPr="00000000">
        <w:rPr>
          <w:rFonts w:ascii="Arial Narrow" w:cs="Arial Narrow" w:eastAsia="Arial Narrow" w:hAnsi="Arial Narrow"/>
          <w:i w:val="1"/>
          <w:rtl w:val="0"/>
        </w:rPr>
        <w:t xml:space="preserve">.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3D">
      <w:pPr>
        <w:spacing w:after="120" w:line="360"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Each Dispute Party will have a clear reason why it has not already settled the dispute, and the result that each wishes the Chair to deliver.  There is a need therefore for each Dispute Party to set down clearly what it wants the Chair to find in its favour.</w:t>
      </w:r>
    </w:p>
    <w:p w:rsidR="00000000" w:rsidDel="00000000" w:rsidP="00000000" w:rsidRDefault="00000000" w:rsidRPr="00000000" w14:paraId="0000003E">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Logically, when preparing the submission, the decision sought from the Chair should be the first thing finalised, and each Dispute Party then marshals its arguments to support that case.  That said, Parties should be satisfied that the decision sought is one that a Chair can give. </w:t>
      </w:r>
    </w:p>
    <w:p w:rsidR="00000000" w:rsidDel="00000000" w:rsidP="00000000" w:rsidRDefault="00000000" w:rsidRPr="00000000" w14:paraId="0000003F">
      <w:pPr>
        <w:numPr>
          <w:ilvl w:val="0"/>
          <w:numId w:val="8"/>
        </w:numPr>
        <w:spacing w:after="120" w:line="360" w:lineRule="auto"/>
        <w:ind w:left="36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Chair’s jurisdiction.</w:t>
      </w:r>
    </w:p>
    <w:p w:rsidR="00000000" w:rsidDel="00000000" w:rsidP="00000000" w:rsidRDefault="00000000" w:rsidRPr="00000000" w14:paraId="00000040">
      <w:pPr>
        <w:numPr>
          <w:ilvl w:val="0"/>
          <w:numId w:val="8"/>
        </w:numPr>
        <w:spacing w:after="120" w:line="360" w:lineRule="auto"/>
        <w:ind w:left="360"/>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By contrast, a Chair will not support any contention that asks them, for example, to give a ruling that a contract is unfair and/or needs to be changed, because any such determination would not derive from either the Access Dispute Resolution Rules or an effective individual Access contract and would therefore be beyond the Chair’s powers.</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List any specific remedies.  For example “as a result of the decided principle(s) above, the Defendant is to pay £X to the Claimant”.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rPr>
          <w:rFonts w:ascii="Arial Narrow" w:cs="Arial Narrow" w:eastAsia="Arial Narrow" w:hAnsi="Arial Narrow"/>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Remedy is what the aggrieved Party contends it should be granted if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finds in its favour. This should be considered carefully because access agreements are frequently prescriptive about such matters, and there are no benefits to be won from advancing arguments for remedies that lie outside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 powers. If </w:t>
      </w:r>
      <w:r w:rsidDel="00000000" w:rsidR="00000000" w:rsidRPr="00000000">
        <w:rPr>
          <w:rFonts w:ascii="Arial Narrow" w:cs="Arial Narrow" w:eastAsia="Arial Narrow" w:hAnsi="Arial Narrow"/>
          <w:i w:val="1"/>
          <w:rtl w:val="0"/>
        </w:rPr>
        <w:t xml:space="preserve">requesting that the Chair substitute its own decision for one under appeal, the Claimant should specify whether, and how, “exceptional circumstances” (Metro Network Code, Part D5.3.1(c)) apply.</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rtl w:val="0"/>
        </w:rPr>
        <w:t xml:space="preserve"> The Chair’s powers which are governed by </w:t>
      </w:r>
      <w:r w:rsidDel="00000000" w:rsidR="00000000" w:rsidRPr="00000000">
        <w:rPr>
          <w:rFonts w:ascii="Arial Narrow" w:cs="Arial Narrow" w:eastAsia="Arial Narrow" w:hAnsi="Arial Narrow"/>
          <w:b w:val="1"/>
          <w:i w:val="1"/>
          <w:rtl w:val="0"/>
        </w:rPr>
        <w:t xml:space="preserve">Metro ADR Rule</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b w:val="1"/>
          <w:i w:val="1"/>
          <w:rtl w:val="0"/>
        </w:rPr>
        <w:t xml:space="preserve">A6</w:t>
      </w:r>
      <w:r w:rsidDel="00000000" w:rsidR="00000000" w:rsidRPr="00000000">
        <w:rPr>
          <w:rFonts w:ascii="Arial Narrow" w:cs="Arial Narrow" w:eastAsia="Arial Narrow" w:hAnsi="Arial Narrow"/>
          <w:i w:val="1"/>
          <w:rtl w:val="0"/>
        </w:rPr>
        <w:t xml:space="preserve">, which states:</w:t>
      </w:r>
      <w:r w:rsidDel="00000000" w:rsidR="00000000" w:rsidRPr="00000000">
        <w:rPr>
          <w:rtl w:val="0"/>
        </w:rPr>
      </w:r>
    </w:p>
    <w:p w:rsidR="00000000" w:rsidDel="00000000" w:rsidP="00000000" w:rsidRDefault="00000000" w:rsidRPr="00000000" w14:paraId="00000043">
      <w:pPr>
        <w:spacing w:after="120" w:line="360" w:lineRule="auto"/>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“Each and every Forum shall:</w:t>
      </w:r>
      <w:r w:rsidDel="00000000" w:rsidR="00000000" w:rsidRPr="00000000">
        <w:rPr>
          <w:rtl w:val="0"/>
        </w:rPr>
      </w:r>
    </w:p>
    <w:p w:rsidR="00000000" w:rsidDel="00000000" w:rsidP="00000000" w:rsidRDefault="00000000" w:rsidRPr="00000000" w14:paraId="00000044">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where the Access Conditions or Underlying Contract require that a specific remedy be granted, grant that remedy accordingly; or</w:t>
      </w:r>
    </w:p>
    <w:p w:rsidR="00000000" w:rsidDel="00000000" w:rsidP="00000000" w:rsidRDefault="00000000" w:rsidRPr="00000000" w14:paraId="00000045">
      <w:pPr>
        <w:spacing w:after="120" w:line="360" w:lineRule="auto"/>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(b) Where a specific remedy is provided for at law, grant that remedy accordingly; or</w:t>
      </w:r>
      <w:r w:rsidDel="00000000" w:rsidR="00000000" w:rsidRPr="00000000">
        <w:rPr>
          <w:rtl w:val="0"/>
        </w:rPr>
      </w:r>
    </w:p>
    <w:p w:rsidR="00000000" w:rsidDel="00000000" w:rsidP="00000000" w:rsidRDefault="00000000" w:rsidRPr="00000000" w14:paraId="00000046">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 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Claimant wishes to argue for an exercise of “discretion” as in (c) above, it must consider whether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has such discretion given the provisions of (a) and (b).</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Clarify whether you wish the Hearing Chair to decide other issues – such as ordering costs.</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Claimant confirms that it has complied with Access Dispute Resolution Rule H21 </w:t>
      </w:r>
      <w:r w:rsidDel="00000000" w:rsidR="00000000" w:rsidRPr="00000000">
        <w:rPr>
          <w:rFonts w:ascii="Arial Narrow" w:cs="Arial Narrow" w:eastAsia="Arial Narrow" w:hAnsi="Arial Narrow"/>
          <w:i w:val="1"/>
          <w:rtl w:val="0"/>
        </w:rPr>
        <w:t xml:space="preserve">[which requires that “copies of the following Documents … shall be annexed and cross referenced to the reference: (a) the relevant </w:t>
      </w:r>
      <w:r w:rsidDel="00000000" w:rsidR="00000000" w:rsidRPr="00000000">
        <w:rPr>
          <w:rFonts w:ascii="Arial Narrow" w:cs="Arial Narrow" w:eastAsia="Arial Narrow" w:hAnsi="Arial Narrow"/>
          <w:i w:val="1"/>
          <w:u w:val="single"/>
          <w:rtl w:val="0"/>
        </w:rPr>
        <w:t xml:space="preserve">extracts</w:t>
      </w:r>
      <w:r w:rsidDel="00000000" w:rsidR="00000000" w:rsidRPr="00000000">
        <w:rPr>
          <w:rFonts w:ascii="Arial Narrow" w:cs="Arial Narrow" w:eastAsia="Arial Narrow" w:hAnsi="Arial Narrow"/>
          <w:i w:val="1"/>
          <w:rtl w:val="0"/>
        </w:rPr>
        <w:t xml:space="preserve"> of contractual Documents containing the provision(s) under which the referral to the Timetabling Panel arises and/or provision(s) associated with the substance of the dispute; and (b) [the relevant </w:t>
      </w:r>
      <w:r w:rsidDel="00000000" w:rsidR="00000000" w:rsidRPr="00000000">
        <w:rPr>
          <w:rFonts w:ascii="Arial Narrow" w:cs="Arial Narrow" w:eastAsia="Arial Narrow" w:hAnsi="Arial Narrow"/>
          <w:i w:val="1"/>
          <w:u w:val="single"/>
          <w:rtl w:val="0"/>
        </w:rPr>
        <w:t xml:space="preserve">extracts</w:t>
      </w:r>
      <w:r w:rsidDel="00000000" w:rsidR="00000000" w:rsidRPr="00000000">
        <w:rPr>
          <w:rFonts w:ascii="Arial Narrow" w:cs="Arial Narrow" w:eastAsia="Arial Narrow" w:hAnsi="Arial Narrow"/>
          <w:i w:val="1"/>
          <w:rtl w:val="0"/>
        </w:rPr>
        <w:t xml:space="preserve"> of] any other Documents referred to in the reference”</w:t>
      </w:r>
    </w:p>
    <w:p w:rsidR="00000000" w:rsidDel="00000000" w:rsidP="00000000" w:rsidRDefault="00000000" w:rsidRPr="00000000" w14:paraId="0000004C">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Note:  It is undesirable for complete documents to be provided to the Panel – relevant extracts which demonstrate the Parties’ respective positions are sufficient.</w:t>
      </w:r>
    </w:p>
    <w:p w:rsidR="00000000" w:rsidDel="00000000" w:rsidP="00000000" w:rsidRDefault="00000000" w:rsidRPr="00000000" w14:paraId="0000004D">
      <w:pPr>
        <w:spacing w:after="120" w:line="360" w:lineRule="auto"/>
        <w:jc w:val="both"/>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Extracts</w:t>
      </w:r>
      <w:r w:rsidDel="00000000" w:rsidR="00000000" w:rsidRPr="00000000">
        <w:rPr>
          <w:rFonts w:ascii="Arial Narrow" w:cs="Arial Narrow" w:eastAsia="Arial Narrow" w:hAnsi="Arial Narrow"/>
          <w:rtl w:val="0"/>
        </w:rPr>
        <w:t xml:space="preserve"> of Access Conditions/the Metro Network Code are included where the dispute relates to previous (i.e. no longer current) versions of these documents.</w:t>
      </w:r>
    </w:p>
    <w:p w:rsidR="00000000" w:rsidDel="00000000" w:rsidP="00000000" w:rsidRDefault="00000000" w:rsidRPr="00000000" w14:paraId="0000004E">
      <w:pPr>
        <w:spacing w:after="120"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appendices are bound into the submission and consecutively page numbered.  To assist the Panel, in each Appendix</w:t>
      </w:r>
    </w:p>
    <w:p w:rsidR="00000000" w:rsidDel="00000000" w:rsidP="00000000" w:rsidRDefault="00000000" w:rsidRPr="00000000" w14:paraId="0000004F">
      <w:pPr>
        <w:numPr>
          <w:ilvl w:val="0"/>
          <w:numId w:val="5"/>
        </w:numPr>
        <w:spacing w:after="120" w:line="360" w:lineRule="auto"/>
        <w:ind w:left="114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heading states which Dispute Party has requested that the particular appendix be placed before the Panel;  and</w:t>
      </w:r>
    </w:p>
    <w:p w:rsidR="00000000" w:rsidDel="00000000" w:rsidP="00000000" w:rsidRDefault="00000000" w:rsidRPr="00000000" w14:paraId="00000050">
      <w:pPr>
        <w:numPr>
          <w:ilvl w:val="0"/>
          <w:numId w:val="5"/>
        </w:numPr>
        <w:spacing w:after="120" w:line="360" w:lineRule="auto"/>
        <w:ind w:left="114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quotations or references that are cited in the formal submission are highlighted (or side-lined) so that the context of the quotation or reference is apparent.</w:t>
      </w:r>
    </w:p>
    <w:p w:rsidR="00000000" w:rsidDel="00000000" w:rsidP="00000000" w:rsidRDefault="00000000" w:rsidRPr="00000000" w14:paraId="00000051">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Any information only made available after the main submission has been submitted to the Panel will be consecutively numbered so as to follow on at the conclusion of the previous submission.</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w:t>
      </w:r>
    </w:p>
    <w:tbl>
      <w:tblPr>
        <w:tblStyle w:val="Table1"/>
        <w:tblW w:w="6048.0" w:type="dxa"/>
        <w:jc w:val="left"/>
        <w:tblInd w:w="0.0" w:type="dxa"/>
        <w:tblLayout w:type="fixed"/>
        <w:tblLook w:val="0000"/>
      </w:tblPr>
      <w:tblGrid>
        <w:gridCol w:w="6048"/>
        <w:tblGridChange w:id="0">
          <w:tblGrid>
            <w:gridCol w:w="6048"/>
          </w:tblGrid>
        </w:tblGridChange>
      </w:tblGrid>
      <w:tr>
        <w:trPr>
          <w:cantSplit w:val="0"/>
          <w:tblHeader w:val="0"/>
        </w:trPr>
        <w:tc>
          <w:tcPr>
            <w:vAlign w:val="top"/>
          </w:tcPr>
          <w:p w:rsidR="00000000" w:rsidDel="00000000" w:rsidP="00000000" w:rsidRDefault="00000000" w:rsidRPr="00000000" w14:paraId="0000005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w:t>
            </w:r>
            <w:r w:rsidDel="00000000" w:rsidR="00000000" w:rsidRPr="00000000">
              <w:rPr>
                <w:rFonts w:ascii="Arial Narrow" w:cs="Arial Narrow" w:eastAsia="Arial Narrow" w:hAnsi="Arial Narrow"/>
                <w:i w:val="1"/>
                <w:vertAlign w:val="baseline"/>
                <w:rtl w:val="0"/>
              </w:rPr>
              <w:t xml:space="preserve">xxxxxxxxxxxxxx</w:t>
            </w:r>
            <w:r w:rsidDel="00000000" w:rsidR="00000000" w:rsidRPr="00000000">
              <w:rPr>
                <w:rFonts w:ascii="Arial Narrow" w:cs="Arial Narrow" w:eastAsia="Arial Narrow" w:hAnsi="Arial Narrow"/>
                <w:vertAlign w:val="baseline"/>
                <w:rtl w:val="0"/>
              </w:rPr>
              <w:t xml:space="preserve"> Limited</w:t>
            </w:r>
          </w:p>
          <w:p w:rsidR="00000000" w:rsidDel="00000000" w:rsidP="00000000" w:rsidRDefault="00000000" w:rsidRPr="00000000" w14:paraId="0000005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5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5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5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5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5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60">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1">
      <w:pPr>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2">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is a control mechanism; it provides the Panel with assurance that the dispute has been referred to with the knowledge and understanding of the disputing corporate body.  This is important, as engaging in formal dispute resolution implies a commitment to accepting the outcome of that process.</w:t>
      </w:r>
    </w:p>
    <w:p w:rsidR="00000000" w:rsidDel="00000000" w:rsidP="00000000" w:rsidRDefault="00000000" w:rsidRPr="00000000" w14:paraId="00000063">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this context, the Claimant is reminded that in sending representatives to argue its case before the Panel, </w:t>
      </w:r>
      <w:r w:rsidDel="00000000" w:rsidR="00000000" w:rsidRPr="00000000">
        <w:rPr>
          <w:rFonts w:ascii="Arial Narrow" w:cs="Arial Narrow" w:eastAsia="Arial Narrow" w:hAnsi="Arial Narrow"/>
          <w:b w:val="1"/>
          <w:i w:val="1"/>
          <w:rtl w:val="0"/>
        </w:rPr>
        <w:t xml:space="preserve">“</w:t>
      </w:r>
      <w:r w:rsidDel="00000000" w:rsidR="00000000" w:rsidRPr="00000000">
        <w:rPr>
          <w:rFonts w:ascii="Arial Narrow" w:cs="Arial Narrow" w:eastAsia="Arial Narrow" w:hAnsi="Arial Narrow"/>
          <w:i w:val="1"/>
          <w:rtl w:val="0"/>
        </w:rPr>
        <w:t xml:space="preserve">it shall … ensure that (a) the competencies, skills and knowledge of any chosen representative are appropriate to the issues involved in the dispute (content, subject and value)” [Metro ADR Rule A19]</w:t>
      </w:r>
    </w:p>
    <w:p w:rsidR="00000000" w:rsidDel="00000000" w:rsidP="00000000" w:rsidRDefault="00000000" w:rsidRPr="00000000" w14:paraId="00000064">
      <w:pPr>
        <w:spacing w:after="120" w:line="360" w:lineRule="auto"/>
        <w:jc w:val="both"/>
        <w:rPr>
          <w:rFonts w:ascii="Arial Narrow" w:cs="Arial Narrow" w:eastAsia="Arial Narrow" w:hAnsi="Arial Narrow"/>
          <w:sz w:val="28"/>
          <w:szCs w:val="28"/>
        </w:rPr>
      </w:pPr>
      <w:r w:rsidDel="00000000" w:rsidR="00000000" w:rsidRPr="00000000">
        <w:rPr>
          <w:rFonts w:ascii="Arial Narrow" w:cs="Arial Narrow" w:eastAsia="Arial Narrow" w:hAnsi="Arial Narrow"/>
          <w:i w:val="1"/>
          <w:rtl w:val="0"/>
        </w:rPr>
        <w:t xml:space="preserve">Now provide the Appendices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sz w:val="28"/>
          <w:szCs w:val="28"/>
          <w:rtl w:val="0"/>
        </w:rPr>
        <w:t xml:space="preserve">The Appendices</w:t>
      </w:r>
      <w:r w:rsidDel="00000000" w:rsidR="00000000" w:rsidRPr="00000000">
        <w:rPr>
          <w:rFonts w:ascii="Arial Narrow" w:cs="Arial Narrow" w:eastAsia="Arial Narrow" w:hAnsi="Arial Narrow"/>
          <w:i w:val="1"/>
          <w:rtl w:val="0"/>
        </w:rPr>
        <w:t xml:space="preserve">”) using a page break. A covering list of Appendices will be helpful. Bear in mind that the Panel and Chair will need to read everything submitted; only include material that will genuinely be helpful to the Panel, for example, do not append entire Network Code Chapters or entire policy documents - the relevant extracts will suffice.</w:t>
      </w:r>
      <w:r w:rsidDel="00000000" w:rsidR="00000000" w:rsidRPr="00000000">
        <w:rPr>
          <w:rtl w:val="0"/>
        </w:rPr>
      </w:r>
    </w:p>
    <w:p w:rsidR="00000000" w:rsidDel="00000000" w:rsidP="00000000" w:rsidRDefault="00000000" w:rsidRPr="00000000" w14:paraId="00000065">
      <w:pPr>
        <w:pStyle w:val="Heading1"/>
        <w:keepLines w:val="0"/>
        <w:spacing w:after="60" w:befor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900" w:right="0" w:hanging="900"/>
        <w:jc w:val="both"/>
        <w:rPr>
          <w:rFonts w:ascii="Arial Narrow" w:cs="Arial Narrow" w:eastAsia="Arial Narrow" w:hAnsi="Arial Narrow"/>
          <w:i w:val="1"/>
        </w:rPr>
      </w:pPr>
      <w:r w:rsidDel="00000000" w:rsidR="00000000" w:rsidRPr="00000000">
        <w:rPr>
          <w:rtl w:val="0"/>
        </w:rPr>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ab/>
      <w:tab/>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3">
    <w:lvl w:ilvl="0">
      <w:start w:val="4"/>
      <w:numFmt w:val="decimal"/>
      <w:lvlText w:val="%1"/>
      <w:lvlJc w:val="left"/>
      <w:pPr>
        <w:ind w:left="709" w:hanging="709"/>
      </w:pPr>
      <w:rPr>
        <w:b w:val="1"/>
        <w:i w:val="0"/>
        <w:smallCaps w:val="0"/>
        <w:strike w:val="0"/>
        <w:color w:val="000000"/>
        <w:vertAlign w:val="baseline"/>
      </w:rPr>
    </w:lvl>
    <w:lvl w:ilvl="1">
      <w:start w:val="4"/>
      <w:numFmt w:val="decimal"/>
      <w:lvlText w:val="%1.%2"/>
      <w:lvlJc w:val="left"/>
      <w:pPr>
        <w:ind w:left="709" w:hanging="709"/>
      </w:pPr>
      <w:rPr>
        <w:smallCaps w:val="0"/>
        <w:strike w:val="0"/>
        <w:color w:val="000000"/>
        <w:vertAlign w:val="baseline"/>
      </w:rPr>
    </w:lvl>
    <w:lvl w:ilvl="2">
      <w:start w:val="1"/>
      <w:numFmt w:val="lowerLetter"/>
      <w:lvlText w:val="(%3)"/>
      <w:lvlJc w:val="left"/>
      <w:pPr>
        <w:ind w:left="9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4">
    <w:lvl w:ilvl="0">
      <w:start w:val="1"/>
      <w:numFmt w:val="decimal"/>
      <w:lvlText w:val="%1"/>
      <w:lvlJc w:val="left"/>
      <w:pPr>
        <w:ind w:left="709" w:hanging="709"/>
      </w:pPr>
      <w:rPr>
        <w:b w:val="1"/>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9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5">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7iBJVDABYfhmSkGdre5TPsjdw==">AMUW2mXAfzk770LSopdX0TY4sJ+2yPcJsc5i8CNOrYcKB8nKV5BPeiD9I3AdRXq8MeEf9/P9W4QyYYpSPEl1qc+Lim/Cb19xg3nZFX6bi7gj1O32CaRzhx5JJ/CkNlKlJu06NT/AQMUQ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2015-10-29T15:44:00Z</dcterms:created>
  <dc:creator>Shrubsole</dc:creator>
</cp:coreProperties>
</file>