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Defence for determination by Access Dispute Adjudication (“ADA”) in accordance with the provisions of Chapter G of the ADR Rules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Rule G17(b) is to be used by the Respondent (defendant) Dispute Party to prepare a Statement of Defence for an ADA Hearing.  Within the template, text in Italics is advisory, and should, once taken into account, be deleted from the final document which is submitted.</w:t>
      </w:r>
      <w:r w:rsidDel="00000000" w:rsidR="00000000" w:rsidRPr="00000000">
        <w:rPr>
          <w:rtl w:val="0"/>
        </w:rPr>
      </w:r>
    </w:p>
    <w:p w:rsidR="00000000" w:rsidDel="00000000" w:rsidP="00000000" w:rsidRDefault="00000000" w:rsidRPr="00000000" w14:paraId="00000003">
      <w:pPr>
        <w:pStyle w:val="Heading3"/>
        <w:spacing w:after="120" w:before="0" w:lineRule="auto"/>
        <w:rPr>
          <w:i w:val="0"/>
          <w:vertAlign w:val="baseline"/>
        </w:rPr>
      </w:pPr>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ADR Rules B15 and G9).  Rule G16 provides the Hearing Chair with discretion to amend the procedures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G17 are appropriate”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[Rule G16]</w:t>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template format corresponding to the requirements set down in Rule G17 (b) is provided in order that any respondent party shall be prompted to ensure that all material relevant to its arguments are available to timescale, always bearing in mind that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10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 statement of … defence shall be no longer than 20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[Rule G22 (a)],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“An Access Dispute Adjudication (ADA) under these Rules is a determinative dispute resolution process in which, … ,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[Rule G1].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0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Respondent").</w:t>
      </w:r>
    </w:p>
    <w:p w:rsidR="00000000" w:rsidDel="00000000" w:rsidP="00000000" w:rsidRDefault="00000000" w:rsidRPr="00000000" w14:paraId="0000001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aware that any third party may be affected by the ADA finding in any of the ways sought in this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DEFENDANT’S RIGHT TO CONTEST THIS REFERENCE</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xxxxxxxxxxxxxxxxxxxxxxxxxxxxxxxxxxxxxxxxxxx.</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Respondent needs to make explicitly clear what provisions of its contract entitle, or direct, it to defend its disputed actions before an ADA.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Respondent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Statement of Defence includes:-</w:t>
      </w:r>
    </w:p>
    <w:p w:rsidR="00000000" w:rsidDel="00000000" w:rsidP="00000000" w:rsidRDefault="00000000" w:rsidRPr="00000000" w14:paraId="0000001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Confirmation, or qualification, that the subject matter of the dispute is as set out by the Claimant in its Statement of Claim, in the form of a summary schedule cross-referenced to the issues listed by the Claimant, identifying which the Respondent agrees with and which it disagrees with.</w:t>
      </w:r>
    </w:p>
    <w:p w:rsidR="00000000" w:rsidDel="00000000" w:rsidP="00000000" w:rsidRDefault="00000000" w:rsidRPr="00000000" w14:paraId="0000001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Respondent’s arguments in support of its position on those issues where it disagrees with the Claimant’s Statement, including references to documents or contractual provisions not dealt with in the Statement of Claim</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related issues not raised by the Claimant, but which the Respondent considers fall to be determined as part of the dispute; </w:t>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decisions of principle sought from the ADA in respect of </w:t>
      </w:r>
    </w:p>
    <w:p w:rsidR="00000000" w:rsidDel="00000000" w:rsidP="00000000" w:rsidRDefault="00000000" w:rsidRPr="00000000" w14:paraId="0000001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legal entitlement and </w:t>
      </w:r>
    </w:p>
    <w:p w:rsidR="00000000" w:rsidDel="00000000" w:rsidP="00000000" w:rsidRDefault="00000000" w:rsidRPr="00000000" w14:paraId="0000001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remedies;</w:t>
      </w:r>
    </w:p>
    <w:p w:rsidR="00000000" w:rsidDel="00000000" w:rsidP="00000000" w:rsidRDefault="00000000" w:rsidRPr="00000000" w14:paraId="0000001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 in particular clarifying any areas where the Respondent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Details of any relevant provisions of the Underlying Contract(s) that the dispute relates to, or is associated with, that have not been cited in the Statement of Claim, but which the Respondent considers supports its case.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Ensure that a copies of the relevant extracts from the document) referred to above are attached at Annex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that the reference is accompanied by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indexed lever arch files containing documents referred to in this statement of defence.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The parties can assume that an ADA will have access to a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Network Code the parties should ensure that the ADA is supplied with the relevant pages of the applicable version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Respondent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the ADA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relevant parts must also be copied and annexed to this statement of defence.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not already given by the Claimant, as is necessary to ensure a common level of understanding of all members of the Panel, including details of the contractual framework surrounding the obligations of the parties in relation to the dispute.  This is also the opportunity to make the case that the Claimant has sought to introduce as relevant, material which the Respondent considers does not relate to the circumstance in dispute.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FROM THE RESPONDENT’S PERSPECTIVE OF EACH ISSUE IN DISPUTE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any issues raised by the Claimant where the Respondent agrees, broadly or wholly, with the Claimant;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those issues where the Respondent disagrees with the Claimant’s position, together with the reasons for that disagreement;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introduce any issues that have not been raised by the Claimant but which the respondent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draw all the foregoing together into a demonstration that the Respondent’s case is the stronger, or should otherwise be preferred to that of the Claimant..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Statement of Defence should therefore distinguish clearly, by reference to the Statement of Claim,</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Issues where the Respondent accepts the Claimant’s case.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Issues where the Respondent qualifies or refutes the Claimant’s case, and the reasons therefore.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Issues not addressed by the Claimant that the Respondent considers should be taken into account as material to the determination, and the reasons supporting these contentions.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Why the arguments raised in 6.1 to 6.3 taken together favour the position of the Respondent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Respondent in any case brought before an ADA should keep in mind that in most cases the ADA needs to be given</w:t>
      </w:r>
    </w:p>
    <w:p w:rsidR="00000000" w:rsidDel="00000000" w:rsidP="00000000" w:rsidRDefault="00000000" w:rsidRPr="00000000" w14:paraId="00000039">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Respondent’s actions or position (or failing one “Right”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A">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Respondent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3B">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C">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Respondent’s individual view of the practical implications of the dispute (e.g. numbers of trains potentially affected, ditto passengers or freight customers, order of magnitude of any financial impact).  Given the provisions of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a party is affected by any possible outcome of the dispute..</w:t>
      </w:r>
      <w:r w:rsidDel="00000000" w:rsidR="00000000" w:rsidRPr="00000000">
        <w:rPr>
          <w:rtl w:val="0"/>
        </w:rPr>
      </w:r>
    </w:p>
    <w:p w:rsidR="00000000" w:rsidDel="00000000" w:rsidP="00000000" w:rsidRDefault="00000000" w:rsidRPr="00000000" w14:paraId="0000003D">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that the Respondent is in agreement with the Claimant in respect of any aspects of the dispute that the parties do not wish the ADA to address.  This could include instances where, for example, the parties have agreed to test a matter of principle, but reserve to themselves the consequent negotiation of any settlement of quantum. </w:t>
      </w:r>
      <w:r w:rsidDel="00000000" w:rsidR="00000000" w:rsidRPr="00000000">
        <w:rPr>
          <w:rtl w:val="0"/>
        </w:rPr>
      </w:r>
    </w:p>
    <w:p w:rsidR="00000000" w:rsidDel="00000000" w:rsidP="00000000" w:rsidRDefault="00000000" w:rsidRPr="00000000" w14:paraId="0000003E">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Respondent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its arguments and representations, the Respondent should remember that the ADA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respondent will have a clear reason why it has not already settled the dispute, and the result that it wishes the ADA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therefore for it to set down clearly what it wants the ADA to find in its favour.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ADA should be the first thing finalised, and arguments marshalled to refute the case made by the Claimant.   That said, the Respondent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ADR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List any specific remedies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sought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 “as a result of the decided principle(s) above, the Respondent is not liable to pay £X to the Claimant”</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Respondent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Panel to decide other issues – such as costs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Respondent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G17 (b) (vi)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which requires that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extracts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defence”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G17 (b) (vi)]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Where the dispute relates to previous (i.e. no longer current) versions of documents, all relevant extracts of the applicable documents are included.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ADA, in each Appendix or Annexe quotations, or references, that are cited in the formal submission are highlighted (or side-lined) so that the context of the quotation or reference is apparent.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ADA, will be consecutively numbered, so as to follow on at the conclusion of the previous submission.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rPr>
          <w:cantSplit w:val="0"/>
          <w:tblHeader w:val="0"/>
        </w:trPr>
        <w:tc>
          <w:tcPr>
            <w:vAlign w:val="top"/>
          </w:tcPr>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7">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ADA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Respondent is reminded that in sending representatives to argue its case before the ADA,</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 ensure that</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A.19]</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69" w:hanging="709"/>
      </w:pPr>
      <w:rPr>
        <w:smallCaps w:val="0"/>
        <w:strike w:val="0"/>
        <w:color w:val="000000"/>
        <w:vertAlign w:val="baseline"/>
      </w:rPr>
    </w:lvl>
    <w:lvl w:ilvl="2">
      <w:start w:val="1"/>
      <w:numFmt w:val="lowerLetter"/>
      <w:lvlText w:val="(%3)"/>
      <w:lvlJc w:val="left"/>
      <w:pPr>
        <w:ind w:left="1069" w:firstLine="0"/>
      </w:pPr>
      <w:rPr>
        <w:b w:val="0"/>
        <w:i w:val="0"/>
        <w:smallCaps w:val="0"/>
        <w:strike w:val="0"/>
        <w:color w:val="000000"/>
        <w:u w:val="none"/>
        <w:vertAlign w:val="baseline"/>
      </w:rPr>
    </w:lvl>
    <w:lvl w:ilvl="3">
      <w:start w:val="1"/>
      <w:numFmt w:val="lowerRoman"/>
      <w:lvlText w:val="(%4)"/>
      <w:lvlJc w:val="left"/>
      <w:pPr>
        <w:ind w:left="2520" w:hanging="720"/>
      </w:pPr>
      <w:rPr>
        <w:b w:val="0"/>
        <w:i w:val="0"/>
        <w:smallCaps w:val="0"/>
        <w:strike w:val="0"/>
        <w:color w:val="000000"/>
        <w:u w:val="none"/>
        <w:vertAlign w:val="baseline"/>
      </w:rPr>
    </w:lvl>
    <w:lvl w:ilvl="4">
      <w:start w:val="1"/>
      <w:numFmt w:val="upperLetter"/>
      <w:lvlText w:val="(%5)"/>
      <w:lvlJc w:val="left"/>
      <w:pPr>
        <w:ind w:left="3240" w:hanging="720"/>
      </w:pPr>
      <w:rPr>
        <w:b w:val="0"/>
        <w:i w:val="0"/>
        <w:smallCaps w:val="0"/>
        <w:strike w:val="0"/>
        <w:color w:val="000000"/>
        <w:u w:val="none"/>
        <w:vertAlign w:val="baseline"/>
      </w:rPr>
    </w:lvl>
    <w:lvl w:ilvl="5">
      <w:start w:val="1"/>
      <w:numFmt w:val="decimal"/>
      <w:lvlText w:val="%6)"/>
      <w:lvlJc w:val="left"/>
      <w:pPr>
        <w:ind w:left="3960" w:hanging="720"/>
      </w:pPr>
      <w:rPr>
        <w:b w:val="0"/>
        <w:i w:val="0"/>
        <w:smallCaps w:val="0"/>
        <w:strike w:val="0"/>
        <w:color w:val="000000"/>
        <w:u w:val="none"/>
        <w:vertAlign w:val="baseline"/>
      </w:rPr>
    </w:lvl>
    <w:lvl w:ilvl="6">
      <w:start w:val="1"/>
      <w:numFmt w:val="decimal"/>
      <w:lvlText w:val="Not Defined"/>
      <w:lvlJc w:val="left"/>
      <w:pPr>
        <w:ind w:left="360" w:firstLine="0"/>
      </w:pPr>
      <w:rPr>
        <w:b w:val="0"/>
        <w:i w:val="0"/>
        <w:smallCaps w:val="0"/>
        <w:strike w:val="0"/>
        <w:color w:val="000000"/>
        <w:u w:val="none"/>
        <w:vertAlign w:val="baseline"/>
      </w:rPr>
    </w:lvl>
    <w:lvl w:ilvl="7">
      <w:start w:val="1"/>
      <w:numFmt w:val="decimal"/>
      <w:lvlText w:val="Not Defined"/>
      <w:lvlJc w:val="left"/>
      <w:pPr>
        <w:ind w:left="360" w:firstLine="0"/>
      </w:pPr>
      <w:rPr>
        <w:b w:val="0"/>
        <w:i w:val="0"/>
        <w:smallCaps w:val="0"/>
        <w:strike w:val="0"/>
        <w:color w:val="000000"/>
        <w:u w:val="none"/>
        <w:vertAlign w:val="baseline"/>
      </w:rPr>
    </w:lvl>
    <w:lvl w:ilvl="8">
      <w:start w:val="1"/>
      <w:numFmt w:val="decimal"/>
      <w:lvlText w:val="Not Defined"/>
      <w:lvlJc w:val="left"/>
      <w:pPr>
        <w:ind w:left="360" w:firstLine="0"/>
      </w:pPr>
      <w:rPr>
        <w:b w:val="0"/>
        <w:i w:val="0"/>
        <w:smallCaps w:val="0"/>
        <w:strike w:val="0"/>
        <w:color w:val="000000"/>
        <w:u w:val="none"/>
        <w:vertAlign w:val="baseline"/>
      </w:rPr>
    </w:lvl>
  </w:abstractNum>
  <w:abstractNum w:abstractNumId="7">
    <w:lvl w:ilvl="0">
      <w:start w:val="1"/>
      <w:numFmt w:val="upperLetter"/>
      <w:lvlText w:val="(%1)"/>
      <w:lvlJc w:val="left"/>
      <w:pPr>
        <w:ind w:left="1200" w:hanging="480"/>
      </w:pPr>
      <w:rPr>
        <w:rFonts w:ascii="Arial Narrow" w:cs="Arial Narrow" w:eastAsia="Arial Narrow" w:hAnsi="Arial Narro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45lofGN48GnpVZUCBw+a02Ueg==">AMUW2mW2Yxqn1LiCsWjDWrLH/c9nvRjOt5nfFd63ifmj8Hp3WtCCrkjaZtf2cIRUK5+CBERrep0vbSHpaXbLUnU0JnRYB/gq57k1n3Mu6ka6fK9zmIaLvgIMFNNcYOh67EJjDxgZGol8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2010-12-20T13:06:00Z</dcterms:created>
  <dc:creator>Shrubsole</dc:creator>
</cp:coreProperties>
</file>