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Defendant’s Response to a Sole Reference to a Timetabling Panel in accordance with the provisions of Chapter H of the HAL ADR Rules</w:t>
      </w:r>
      <w:r w:rsidDel="00000000" w:rsidR="00000000" w:rsidRPr="00000000">
        <w:rPr>
          <w:rtl w:val="0"/>
        </w:rPr>
      </w:r>
    </w:p>
    <w:p w:rsidR="00000000" w:rsidDel="00000000" w:rsidP="00000000" w:rsidRDefault="00000000" w:rsidRPr="00000000" w14:paraId="00000002">
      <w:pPr>
        <w:spacing w:after="12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HAL ADR Rule H21(b), is to be used by the Defendant Dispute Party to prepare a response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4">
      <w:pPr>
        <w:pStyle w:val="Heading3"/>
        <w:spacing w:after="120" w:before="0" w:lineRule="auto"/>
        <w:rPr>
          <w:rFonts w:ascii="Arial Narrow" w:cs="Arial Narrow" w:eastAsia="Arial Narrow" w:hAnsi="Arial Narrow"/>
          <w:i w:val="0"/>
          <w:vertAlign w:val="baseline"/>
        </w:rPr>
      </w:pPr>
      <w:bookmarkStart w:colFirst="0" w:colLast="0" w:name="_heading=h.gjdgxs" w:id="0"/>
      <w:bookmarkEnd w:id="0"/>
      <w:r w:rsidDel="00000000" w:rsidR="00000000" w:rsidRPr="00000000">
        <w:rPr>
          <w:rFonts w:ascii="Arial Narrow" w:cs="Arial Narrow" w:eastAsia="Arial Narrow" w:hAnsi="Arial Narrow"/>
          <w:b w:val="1"/>
          <w:i w:val="1"/>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w:t>
      </w:r>
      <w:r w:rsidDel="00000000" w:rsidR="00000000" w:rsidRPr="00000000">
        <w:rPr>
          <w:rFonts w:ascii="Arial Narrow" w:cs="Arial Narrow" w:eastAsia="Arial Narrow" w:hAnsi="Arial Narrow"/>
          <w:i w:val="1"/>
          <w:sz w:val="22"/>
          <w:szCs w:val="22"/>
          <w:rtl w:val="0"/>
        </w:rPr>
        <w:t xml:space="preserve">HAL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H20 provides that,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Party/Parties;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ADC website;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0C">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[HAL Rule H21(d)] , and that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a sole reference or response shall be no longer than 10 pages”.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[HAL ADR Rule H23].</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 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 usually</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Heathrow Airport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 e.g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Compass Centre, Nelson Road, Hounslow, Middlesex, TW6 2GW</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HAL</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Defendant")).</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THIS </w:t>
      </w:r>
      <w:r w:rsidDel="00000000" w:rsidR="00000000" w:rsidRPr="00000000">
        <w:rPr>
          <w:rFonts w:ascii="Arial Narrow" w:cs="Arial Narrow" w:eastAsia="Arial Narrow" w:hAnsi="Arial Narrow"/>
          <w:b w:val="1"/>
          <w:smallCaps w:val="1"/>
          <w:rtl w:val="0"/>
        </w:rPr>
        <w:t xml:space="preserve">DOCUMENT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Response to the Claimant’s Sole Reference includes:-</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Confirmation, or qualification, that the subject matter of the dispute is as set out by the Claimant in its Sole Reference, in the form of a summary schedule cross-referenced to the issues raised by the Claimant in the Sole Reference, identifying which the Defendant agrees with and which it disagrees with.</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Defendant’s arguments in support of its position on those issues where it disagrees with the Claimant’s Sole Reference, including references to documents or contractual provisions not dealt with in the Claimant’s Sole Reference.</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related issues not raised by the Claimant but which the Defendant considers fall to be determined as part of the dispute;</w:t>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decisions of principle sought from the Panel in respect of</w:t>
      </w:r>
    </w:p>
    <w:p w:rsidR="00000000" w:rsidDel="00000000" w:rsidP="00000000" w:rsidRDefault="00000000" w:rsidRPr="00000000" w14:paraId="0000001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w:t>
      </w:r>
    </w:p>
    <w:p w:rsidR="00000000" w:rsidDel="00000000" w:rsidP="00000000" w:rsidRDefault="00000000" w:rsidRPr="00000000" w14:paraId="0000001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p>
    <w:p w:rsidR="00000000" w:rsidDel="00000000" w:rsidP="00000000" w:rsidRDefault="00000000" w:rsidRPr="00000000" w14:paraId="0000001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Confirm, clarify or qualify any areas where the Defendant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Provide details of any Condition in Part D of the HAL Network Code, or the relevant provision of the Track Access Contract that the dispute relates to, or is associated with, that have not been cited in the Sole Reference, but which the Defendant considers supports its case.</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Provide any relevant background information not already given by the Claimant such as is necessary to ensure a common level of understanding of all members of the Panel, including details of the contractual framework surrounding the obligations of the Parties in relation to the dispute.  This is also the opportunity to make the case where the Claimant has sought to introduce as relevant, material which the Defendant considers does not relate to the circumstance in dispute.</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Unless already provided by the claimant, ensure that a copy of the relevant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HAL Network Code.  However,</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HAL Network Code the Defendant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Defendant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Provide details of any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other</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documents that the Defendant considers are relevant to the dispute.  The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relevant</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parts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must also be copied and annexed to this response document.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NOTE: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It is not necessary – and, indeed, undesirable – for the Defendant to supply the Panel with documentation which has already been provided by the Claimant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It is, however, appropriate that the Defendant confirms whether documentation which has been supplied by the Claimant is recognised as relevant to the dispute.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FROM THE DEFENDANT’S PERSPECTIVE OF EACH ISSUE IN DISPUTE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those issues where the Defendant disagrees with the Claimant’s position, together with giving the reasons for that disagreement;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qualifies or refutes the Claimant’s Case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not addressed by the Claimant that the Defendant considers should be taken into account as material to the determination</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Why the arguments raised in 4.1 to 4.3 taken together favour the position of the Defendant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(most usually </w:t>
      </w:r>
      <w:r w:rsidDel="00000000" w:rsidR="00000000" w:rsidRPr="00000000">
        <w:rPr>
          <w:rFonts w:ascii="Arial Narrow" w:cs="Arial Narrow" w:eastAsia="Arial Narrow" w:hAnsi="Arial Narrow"/>
          <w:i w:val="1"/>
          <w:rtl w:val="0"/>
        </w:rPr>
        <w:t xml:space="preserve">HAL</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brought before a Timetabling Panel should in any case keep in mind that in most cases the Panel needs to be given</w:t>
      </w:r>
    </w:p>
    <w:p w:rsidR="00000000" w:rsidDel="00000000" w:rsidP="00000000" w:rsidRDefault="00000000" w:rsidRPr="00000000" w14:paraId="00000037">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“Right”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8">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39">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A">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3B">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3C">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Defendant should set out the outcome it is seeking from the Panel’s determination, differentiating between</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its arguments and representations, the Defendant should remember that the Panel is constrained by</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HAL ADR 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will have a clear reason why it has not already settled the dispute, and the result that it wishes the Panel to deliver.   There is need therefore for it to set down clearly what it wants the Panel to find in its favour.  Logically, when preparing the response submission, the decision sought from the Panel should be the first thing finalised, and arguments then marshalled to support the case for that outcome.  That said, the Defendant should be clear that the decision sought is one that a Panel can give.</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Claimant will have set out any specific remedies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sought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Remedy is what the aggrieved Party contends it should be granted if the Panel finds in its favour.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Defendant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Defendant confirms that it has complied with HAL Access Dispute Resolution Rule H21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[which requires that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 shall also be annexed and cross referenced to the response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if not dealt with in the reference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of contractual Documents containing the provision(s) under which the referral to the Timetabling Panel arises and/or provisions associated with the substance of the dispute; and</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response.”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is undesirable for complete documents to be provided to the Panel – relevant extracts which support the Defendant’s position are sufficient.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Access Conditions/ the HAL Network Code are included where the dispute relates to previous (i.e. no longer current) versions of these documents.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Panel, quotations or references that are cited in the formal submission are highlighted (or side-lined) so that the context of the quotation or reference is apparent.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6.0" w:type="dxa"/>
        <w:jc w:val="left"/>
        <w:tblInd w:w="0.0" w:type="dxa"/>
        <w:tblLayout w:type="fixed"/>
        <w:tblLook w:val="0000"/>
      </w:tblPr>
      <w:tblGrid>
        <w:gridCol w:w="4146"/>
        <w:tblGridChange w:id="0">
          <w:tblGrid>
            <w:gridCol w:w="4146"/>
          </w:tblGrid>
        </w:tblGridChange>
      </w:tblGrid>
      <w:tr>
        <w:tc>
          <w:tcPr>
            <w:vAlign w:val="top"/>
          </w:tcPr>
          <w:p w:rsidR="00000000" w:rsidDel="00000000" w:rsidP="00000000" w:rsidRDefault="00000000" w:rsidRPr="00000000" w14:paraId="0000005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8">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[usually </w:t>
            </w:r>
            <w:r w:rsidDel="00000000" w:rsidR="00000000" w:rsidRPr="00000000">
              <w:rPr>
                <w:rFonts w:ascii="Arial Narrow" w:cs="Arial Narrow" w:eastAsia="Arial Narrow" w:hAnsi="Arial Narrow"/>
                <w:i w:val="1"/>
                <w:rtl w:val="0"/>
              </w:rPr>
              <w:t xml:space="preserve">Heathrow Airport </w:t>
            </w:r>
            <w:r w:rsidDel="00000000" w:rsidR="00000000" w:rsidRPr="00000000">
              <w:rPr>
                <w:rFonts w:ascii="Arial Narrow" w:cs="Arial Narrow" w:eastAsia="Arial Narrow" w:hAnsi="Arial Narrow"/>
                <w:i w:val="1"/>
                <w:vertAlign w:val="baseline"/>
                <w:rtl w:val="0"/>
              </w:rPr>
              <w:t xml:space="preserve">Limited]</w:t>
            </w: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3">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assurance that the dispute has been defended with the knowledge and understanding of the relevant corporate body.   This is important, as engaging in formal dispute resolution implies a commitment to accepting the outcome of that process.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Defendant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A19]</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The Appendices</w:t>
      </w: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1200" w:hanging="48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2"/>
      <w:numFmt w:val="lowerLetter"/>
      <w:lvlText w:val="(%1)"/>
      <w:lvlJc w:val="left"/>
      <w:pPr>
        <w:ind w:left="1069" w:hanging="360"/>
      </w:pPr>
      <w:rPr>
        <w:b w:val="1"/>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Pxxr5u2weAi1LDYwkJtrSOvSw==">AMUW2mWH/ctpDx8Eo+VzDx3CKmxCsajZsWIyTy7PgQLMDZvTLgJaUQ3G2g0SRE3+EHDQl3TqmBERTJB1OfQ1Z/PlGUUwXDOmovqdu8FXNWDK2Qe9YPJVHsputEjCSIsv8NAxC1/qG+WQ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2015-10-29T15:44:00Z</dcterms:created>
  <dc:creator>Shrubsole</dc:creator>
</cp:coreProperties>
</file>