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r w:rsidDel="00000000" w:rsidR="00000000" w:rsidRPr="00000000">
        <w:rPr>
          <w:rtl w:val="0"/>
        </w:rPr>
      </w:r>
    </w:p>
    <w:p w:rsidR="00000000" w:rsidDel="00000000" w:rsidP="00000000" w:rsidRDefault="00000000" w:rsidRPr="00000000" w14:paraId="00000002">
      <w:pPr>
        <w:spacing w:line="276"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3">
      <w:pPr>
        <w:spacing w:after="120" w:line="360" w:lineRule="auto"/>
        <w:jc w:val="center"/>
        <w:rPr>
          <w:rFonts w:ascii="Arial Narrow" w:cs="Arial Narrow" w:eastAsia="Arial Narrow" w:hAnsi="Arial Narrow"/>
          <w:b w:val="1"/>
          <w:i w:val="1"/>
          <w:sz w:val="28"/>
          <w:szCs w:val="28"/>
          <w:vertAlign w:val="baseline"/>
        </w:rPr>
      </w:pPr>
      <w:r w:rsidDel="00000000" w:rsidR="00000000" w:rsidRPr="00000000">
        <w:rPr>
          <w:rFonts w:ascii="Arial Narrow" w:cs="Arial Narrow" w:eastAsia="Arial Narrow" w:hAnsi="Arial Narrow"/>
          <w:b w:val="1"/>
          <w:i w:val="1"/>
          <w:sz w:val="28"/>
          <w:szCs w:val="28"/>
          <w:vertAlign w:val="baseline"/>
          <w:rtl w:val="0"/>
        </w:rPr>
        <w:t xml:space="preserve">Template Format (with advisory annotations) for a Statement of Claim for determination by Access Dispute Adjudication (“ADA”) in accordance with the provisions of Chapter G of the </w:t>
      </w:r>
      <w:r w:rsidDel="00000000" w:rsidR="00000000" w:rsidRPr="00000000">
        <w:rPr>
          <w:rFonts w:ascii="Arial Narrow" w:cs="Arial Narrow" w:eastAsia="Arial Narrow" w:hAnsi="Arial Narrow"/>
          <w:b w:val="1"/>
          <w:i w:val="1"/>
          <w:sz w:val="28"/>
          <w:szCs w:val="28"/>
          <w:rtl w:val="0"/>
        </w:rPr>
        <w:t xml:space="preserve">CVL</w:t>
      </w:r>
      <w:r w:rsidDel="00000000" w:rsidR="00000000" w:rsidRPr="00000000">
        <w:rPr>
          <w:rFonts w:ascii="Arial Narrow" w:cs="Arial Narrow" w:eastAsia="Arial Narrow" w:hAnsi="Arial Narrow"/>
          <w:b w:val="1"/>
          <w:i w:val="1"/>
          <w:sz w:val="28"/>
          <w:szCs w:val="28"/>
          <w:vertAlign w:val="baseline"/>
          <w:rtl w:val="0"/>
        </w:rPr>
        <w:t xml:space="preserve"> ADR Rules</w:t>
      </w:r>
    </w:p>
    <w:p w:rsidR="00000000" w:rsidDel="00000000" w:rsidP="00000000" w:rsidRDefault="00000000" w:rsidRPr="00000000" w14:paraId="00000004">
      <w:pPr>
        <w:spacing w:after="120" w:line="360" w:lineRule="auto"/>
        <w:jc w:val="center"/>
        <w:rPr>
          <w:rFonts w:ascii="Arial Narrow" w:cs="Arial Narrow" w:eastAsia="Arial Narrow" w:hAnsi="Arial Narrow"/>
          <w:b w:val="1"/>
          <w:i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This template, as required by Rule G1</w:t>
      </w:r>
      <w:r w:rsidDel="00000000" w:rsidR="00000000" w:rsidRPr="00000000">
        <w:rPr>
          <w:rFonts w:ascii="Arial Narrow" w:cs="Arial Narrow" w:eastAsia="Arial Narrow" w:hAnsi="Arial Narrow"/>
          <w:b w:val="1"/>
          <w:i w:val="1"/>
          <w:rtl w:val="0"/>
        </w:rPr>
        <w:t xml:space="preserve">6</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 is to be used by the Claimant Dispute Party to prepare a Submission for an ADA hearing.   Within the Template, text in Italics is advisory, and should, once taken into account, be deleted from the final submission document.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an ADA shall be subject to the direction of the Hearing Chair (as appointed by the Secretary as provided in Rules B1</w:t>
      </w:r>
      <w:r w:rsidDel="00000000" w:rsidR="00000000" w:rsidRPr="00000000">
        <w:rPr>
          <w:rFonts w:ascii="Arial Narrow" w:cs="Arial Narrow" w:eastAsia="Arial Narrow" w:hAnsi="Arial Narrow"/>
          <w:i w:val="1"/>
          <w:rtl w:val="0"/>
        </w:rPr>
        <w:t xml:space="preserve">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and G</w:t>
      </w:r>
      <w:r w:rsidDel="00000000" w:rsidR="00000000" w:rsidRPr="00000000">
        <w:rPr>
          <w:rFonts w:ascii="Arial Narrow" w:cs="Arial Narrow" w:eastAsia="Arial Narrow" w:hAnsi="Arial Narrow"/>
          <w:i w:val="1"/>
          <w:rtl w:val="0"/>
        </w:rPr>
        <w:t xml:space="preserve">8</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Rule G1</w:t>
      </w:r>
      <w:r w:rsidDel="00000000" w:rsidR="00000000" w:rsidRPr="00000000">
        <w:rPr>
          <w:rFonts w:ascii="Arial Narrow" w:cs="Arial Narrow" w:eastAsia="Arial Narrow" w:hAnsi="Arial Narrow"/>
          <w:i w:val="1"/>
          <w:rtl w:val="0"/>
        </w:rPr>
        <w:t xml:space="preserve">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provides the Hearing Chair with discretion to amend the procedures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rtl w:val="0"/>
        </w:rPr>
        <w:t xml:space="preserve">The ADA process is flexible and may be adapted by the Hearing Chair to accommodate disputes of differing complexity and size and requiring different levels of evidence. The Hearing Chair shall therefore actively consider whether variations on the standard directions (which are for a straightforward matter) set out in Rule G16 are appropriate or justified and will have regard to the submissions of the parties in this respect.</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G1</w:t>
      </w:r>
      <w:r w:rsidDel="00000000" w:rsidR="00000000" w:rsidRPr="00000000">
        <w:rPr>
          <w:rFonts w:ascii="Arial Narrow" w:cs="Arial Narrow" w:eastAsia="Arial Narrow" w:hAnsi="Arial Narrow"/>
          <w:rtl w:val="0"/>
        </w:rPr>
        <w:t xml:space="preserve">5</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template format corresponding to the requirements set down in Rule G1</w:t>
      </w:r>
      <w:r w:rsidDel="00000000" w:rsidR="00000000" w:rsidRPr="00000000">
        <w:rPr>
          <w:rFonts w:ascii="Arial Narrow" w:cs="Arial Narrow" w:eastAsia="Arial Narrow" w:hAnsi="Arial Narrow"/>
          <w:i w:val="1"/>
          <w:rtl w:val="0"/>
        </w:rPr>
        <w:t xml:space="preserve">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 is provided in order that the claimant shall be prompted to ensure that all material relevant to its arguments are available to timescale, always bearing in mind that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ab/>
        <w:t xml:space="preserve">a statement of claim … shall be no longer than 20 pages;”.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G2</w:t>
      </w:r>
      <w:r w:rsidDel="00000000" w:rsidR="00000000" w:rsidRPr="00000000">
        <w:rPr>
          <w:rFonts w:ascii="Arial Narrow" w:cs="Arial Narrow" w:eastAsia="Arial Narrow" w:hAnsi="Arial Narrow"/>
          <w:rtl w:val="0"/>
        </w:rPr>
        <w:t xml:space="preserve">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and that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 Access Dispute Adjudication (ADA) under these Rules is a determinative dispute resolution process in which</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a Hearing Chair determines the dispute in a timely and efficient manner </w:t>
      </w:r>
      <w:r w:rsidDel="00000000" w:rsidR="00000000" w:rsidRPr="00000000">
        <w:rPr>
          <w:rFonts w:ascii="Arial Narrow" w:cs="Arial Narrow" w:eastAsia="Arial Narrow" w:hAnsi="Arial Narrow"/>
          <w:b w:val="1"/>
          <w:i w:val="1"/>
          <w:smallCaps w:val="0"/>
          <w:strike w:val="0"/>
          <w:color w:val="000000"/>
          <w:shd w:fill="auto" w:val="clear"/>
          <w:vertAlign w:val="baselin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G1]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Claimant"); and</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Respondent").</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Claimant is aware that any third party may be affected by the ADA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CLAIMANT’S’ RIGHT TO BRING THIS REFERENCE</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xxxxxxxxxxxxxxxxxxxxxxxxxxxxxxxxxx.</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needs to make explicitly clear what provisions of its contract entitle, or direct, it to bring its dispute before an ADA.  This means a summary, but with verbatim quotations, of those terms of the contract that direct the parties how they should reach agreement, or, where this fails, what form of dispute resolution they should take, making specific reference, where appropriate, to the provisions of Rules B6 or B7, or any Procedure Agreement between the Parties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Statement of Claim includes:-</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summary of the issues in dispute in Section 5;</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issues in dispute prepared by the claimant;</w:t>
      </w:r>
      <w:r w:rsidDel="00000000" w:rsidR="00000000" w:rsidRPr="00000000">
        <w:rPr>
          <w:rtl w:val="0"/>
        </w:rPr>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7, the decisions of principle sought from the ADA in respect of </w:t>
      </w:r>
      <w:r w:rsidDel="00000000" w:rsidR="00000000" w:rsidRPr="00000000">
        <w:rPr>
          <w:rtl w:val="0"/>
        </w:rPr>
      </w:r>
    </w:p>
    <w:p w:rsidR="00000000" w:rsidDel="00000000" w:rsidP="00000000" w:rsidRDefault="00000000" w:rsidRPr="00000000" w14:paraId="0000001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 </w:t>
      </w:r>
      <w:r w:rsidDel="00000000" w:rsidR="00000000" w:rsidRPr="00000000">
        <w:rPr>
          <w:rtl w:val="0"/>
        </w:rPr>
      </w:r>
    </w:p>
    <w:p w:rsidR="00000000" w:rsidDel="00000000" w:rsidP="00000000" w:rsidRDefault="00000000" w:rsidRPr="00000000" w14:paraId="0000001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 dispute as to the proper application of ………….”</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provide details of the all provisions of the Underlying Contract, including any relevant Condition in the Network Code or any particular provisions of the Access Contract that the dispute relates to, or is associated with.   For example:-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Network Code/Schedule ● of the Track/Station/ Access Agreement </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copies of the relevant extracts from the documents referred to above are attached at Annex ● or that the reference is accompanied by ● indexed lever arch files containing documents referred to in this Reference.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It can be assumed that an ADA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claimant should ensure that the ADA is supplied with the relevant pages of the applicable version</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claimant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the ADA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relevant </w:t>
      </w:r>
      <w:r w:rsidDel="00000000" w:rsidR="00000000" w:rsidRPr="00000000">
        <w:rPr>
          <w:rFonts w:ascii="Arial Narrow" w:cs="Arial Narrow" w:eastAsia="Arial Narrow" w:hAnsi="Arial Narrow"/>
          <w:i w:val="1"/>
          <w:rtl w:val="0"/>
        </w:rPr>
        <w:t xml:space="preserve">extracts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must also be copied and annexed to this Reference.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as is necessary to ensure a common level of understanding of all members of the ADA,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Underlying Contract lays down any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AND THE CLAIMANT’S ARGUMENTS TO SUPPORT ITS CASE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etc.etc.</w:t>
      </w:r>
      <w:r w:rsidDel="00000000" w:rsidR="00000000" w:rsidRPr="00000000">
        <w:rPr>
          <w:rtl w:val="0"/>
        </w:rPr>
      </w:r>
    </w:p>
    <w:p w:rsidR="00000000" w:rsidDel="00000000" w:rsidP="00000000" w:rsidRDefault="00000000" w:rsidRPr="00000000" w14:paraId="00000034">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Dispute Parties should keep in mind that the ADA needs to be given</w:t>
      </w:r>
      <w:r w:rsidDel="00000000" w:rsidR="00000000" w:rsidRPr="00000000">
        <w:rPr>
          <w:rtl w:val="0"/>
        </w:rPr>
      </w:r>
    </w:p>
    <w:p w:rsidR="00000000" w:rsidDel="00000000" w:rsidP="00000000" w:rsidRDefault="00000000" w:rsidRPr="00000000" w14:paraId="00000035">
      <w:pPr>
        <w:numPr>
          <w:ilvl w:val="0"/>
          <w:numId w:val="1"/>
        </w:numPr>
        <w:spacing w:after="120" w:line="360" w:lineRule="auto"/>
        <w:ind w:left="720" w:hanging="360"/>
        <w:rPr>
          <w:rFonts w:ascii="Arial Narrow" w:cs="Arial Narrow" w:eastAsia="Arial Narrow" w:hAnsi="Arial Narrow"/>
          <w:i w:val="0"/>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36">
      <w:pPr>
        <w:numPr>
          <w:ilvl w:val="0"/>
          <w:numId w:val="7"/>
        </w:numPr>
        <w:spacing w:after="120" w:line="360" w:lineRule="auto"/>
        <w:ind w:left="720" w:hanging="360"/>
        <w:rPr>
          <w:rFonts w:ascii="Arial Narrow" w:cs="Arial Narrow" w:eastAsia="Arial Narrow" w:hAnsi="Arial Narrow"/>
          <w:i w:val="0"/>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37">
      <w:pPr>
        <w:numPr>
          <w:ilvl w:val="0"/>
          <w:numId w:val="7"/>
        </w:numPr>
        <w:spacing w:after="120" w:line="360" w:lineRule="auto"/>
        <w:ind w:left="720" w:hanging="360"/>
        <w:rPr>
          <w:rFonts w:ascii="Arial Narrow" w:cs="Arial Narrow" w:eastAsia="Arial Narrow" w:hAnsi="Arial Narrow"/>
          <w:i w:val="0"/>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38">
      <w:pPr>
        <w:numPr>
          <w:ilvl w:val="0"/>
          <w:numId w:val="7"/>
        </w:numPr>
        <w:spacing w:after="120" w:line="360" w:lineRule="auto"/>
        <w:ind w:left="720" w:hanging="360"/>
        <w:rPr>
          <w:i w:val="0"/>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 (e.g. numbers of trains potentially affected, ditto passengers or freight customers, order of magnitude of any financial impact).   Given the provisions of Rule G5,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the Party is affected by any possible outcome of the dispute..</w:t>
      </w:r>
      <w:r w:rsidDel="00000000" w:rsidR="00000000" w:rsidRPr="00000000">
        <w:rPr>
          <w:rtl w:val="0"/>
        </w:rPr>
      </w:r>
    </w:p>
    <w:p w:rsidR="00000000" w:rsidDel="00000000" w:rsidP="00000000" w:rsidRDefault="00000000" w:rsidRPr="00000000" w14:paraId="00000039">
      <w:pPr>
        <w:numPr>
          <w:ilvl w:val="0"/>
          <w:numId w:val="7"/>
        </w:numPr>
        <w:spacing w:after="120" w:line="360" w:lineRule="auto"/>
        <w:ind w:left="720" w:hanging="360"/>
        <w:rPr>
          <w:rFonts w:ascii="Arial Narrow" w:cs="Arial Narrow" w:eastAsia="Arial Narrow" w:hAnsi="Arial Narrow"/>
          <w:i w:val="0"/>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ADA to address.  This could include instances where, for example, the parties have agreed to test a matter of principle, but reserve to themselves the consequent negotiation of any settlement of quantum.</w:t>
      </w:r>
      <w:r w:rsidDel="00000000" w:rsidR="00000000" w:rsidRPr="00000000">
        <w:rPr>
          <w:rtl w:val="0"/>
        </w:rPr>
      </w:r>
    </w:p>
    <w:p w:rsidR="00000000" w:rsidDel="00000000" w:rsidP="00000000" w:rsidRDefault="00000000" w:rsidRPr="00000000" w14:paraId="0000003A">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ADJUDICATION</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should set out the outcome it is seeking from the ADA’s determination, differentiating between </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3E">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its arguments and representations, the Claimant should remember that the ADA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will have a clear reason why it has not already settled the dispute, and the result that it wishes the ADA to deliver.  There is need therefore for it to set down clearly what it wants the ADA to find in its favour.</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i w:val="1"/>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ADA should be the first thing finalised, and arguments marshalled to support the case for that outcome.  That said, the Claimant should be clear that the decision sought is one that an ADA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ADA’s jurisdiction.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an ADA will not support any contention that asks it, for example, to give a ruling that a contract is unfair and/or needs to be changed, because any such determination would not derive from either the ADR Rules, or an effective individual Access contract, and would therefore be beyond the ADA’s powers.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Respondent is to pay £X to the Claimant”</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ADA finds in its favour.  This should be considered carefully because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Claimant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ADA to decide other issues – such as costs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Claimant confirms that it has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G1</w:t>
      </w:r>
      <w:r w:rsidDel="00000000" w:rsidR="00000000" w:rsidRPr="00000000">
        <w:rPr>
          <w:rFonts w:ascii="Arial Narrow" w:cs="Arial Narrow" w:eastAsia="Arial Narrow" w:hAnsi="Arial Narrow"/>
          <w:b w:val="1"/>
          <w:rtl w:val="0"/>
        </w:rPr>
        <w:t xml:space="preserve">6</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 (a) (ix)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 which requires that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the relevant extracts of contractual Documents containing the provision(s) under which the referral to the ADA arises and/or provision(s) associated with the substance of the dispute; and</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Where the dispute relates to previous (i.e. no longer current) versions of documents, all relevant extracts of the applicable documents are included.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ADA, in each Appendix or Annex, quotations, or references that are cited in the formal submission are highlighted (or side-lined) so that the context of the quotation or reference is apparent.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ADA, will be consecutively numbered, so as to follow on at the conclusion of the previous submission.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r w:rsidDel="00000000" w:rsidR="00000000" w:rsidRPr="00000000">
        <w:rPr>
          <w:rtl w:val="0"/>
        </w:rPr>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c>
          <w:tcPr>
            <w:vAlign w:val="top"/>
          </w:tcPr>
          <w:p w:rsidR="00000000" w:rsidDel="00000000" w:rsidP="00000000" w:rsidRDefault="00000000" w:rsidRPr="00000000" w14:paraId="0000005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5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4">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5">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ADA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the Claimant is reminded that in sending representatives to argue its case before the ADA,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 ensure that</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r w:rsidDel="00000000" w:rsidR="00000000" w:rsidRPr="00000000">
        <w:rPr>
          <w:rtl w:val="0"/>
        </w:rPr>
      </w:r>
    </w:p>
    <w:sectPr>
      <w:footerReference r:id="rId7"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upp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9">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sgE1oJRUcggr3nFb/dhFFyb/A==">AMUW2mUrzyO2+CkeE91Q+R+IR+R5NSNa2tp/aN67HjmPiMlxPlh+HMFp1A82ynLbVItMaIsOUsgfEBC7PvFIAGoZfvmWAIe1+xgbtWSyHaS3w2N8/9HvNU7IJlcdQOZycAJqriLqVg9Ktl7bSbkY7gt7eyQoMq9Vng==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