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Template Format (with advisory annotations) for a Defendant’s Response to a Sole Reference to a Timetabling Panel in accordance with the provisions of Chapter H of the </w:t>
      </w:r>
      <w:r w:rsidDel="00000000" w:rsidR="00000000" w:rsidRPr="00000000">
        <w:rPr>
          <w:rFonts w:ascii="Arial Narrow" w:cs="Arial Narrow" w:eastAsia="Arial Narrow" w:hAnsi="Arial Narrow"/>
          <w:b w:val="1"/>
          <w:sz w:val="28"/>
          <w:szCs w:val="28"/>
          <w:rtl w:val="0"/>
        </w:rPr>
        <w:t xml:space="preserve">CVL</w:t>
      </w:r>
      <w:r w:rsidDel="00000000" w:rsidR="00000000" w:rsidRPr="00000000">
        <w:rPr>
          <w:rFonts w:ascii="Arial Narrow" w:cs="Arial Narrow" w:eastAsia="Arial Narrow" w:hAnsi="Arial Narrow"/>
          <w:b w:val="1"/>
          <w:sz w:val="28"/>
          <w:szCs w:val="28"/>
          <w:vertAlign w:val="baseline"/>
          <w:rtl w:val="0"/>
        </w:rPr>
        <w:t xml:space="preserve"> ADR Rules</w:t>
      </w:r>
      <w:r w:rsidDel="00000000" w:rsidR="00000000" w:rsidRPr="00000000">
        <w:rPr>
          <w:rtl w:val="0"/>
        </w:rPr>
      </w:r>
    </w:p>
    <w:p w:rsidR="00000000" w:rsidDel="00000000" w:rsidP="00000000" w:rsidRDefault="00000000" w:rsidRPr="00000000" w14:paraId="00000004">
      <w:pPr>
        <w:spacing w:after="12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Rule H21 (b) is to be used by the Defendant Dispute Party to prepare a response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6">
      <w:pPr>
        <w:spacing w:after="120" w:before="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i w:val="0"/>
          <w:smallCaps w:val="0"/>
          <w:strike w:val="0"/>
          <w:color w:val="000000"/>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agree to submit a joint reference they shall,……..”</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do not agree to submit a joint reference in accordance with (a) above:….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 each claimant shall ………. produce and serve upon all Involved Parties a sole reference which [SEE FULL TEXT]….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(ii). each defendant shall within seven days of service on it of such sole reference produce and serve upon all Involved Parties a response which [SEE FULL TEXT]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other Dispute Party (Parties)</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Timetabling Panel in good time for the Hearing, and</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be published on the Access Disputes Committee’s website;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always bearing in mind that </w:t>
      </w:r>
    </w:p>
    <w:p w:rsidR="00000000" w:rsidDel="00000000" w:rsidP="00000000" w:rsidRDefault="00000000" w:rsidRPr="00000000" w14:paraId="00000013">
      <w:pPr>
        <w:spacing w:after="120" w:line="3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“(d)     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(d)  a sole reference or response shall be no longer than 10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H23].</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w:t>
        <w:tab/>
        <w:t xml:space="preserve">[Full Company name]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[Full address]                             ("[insert short form or abbreviation for Company name i.e. its initials]") ("the Claimant"); and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698"/>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(b)</w:t>
        <w:tab/>
      </w:r>
      <w:r w:rsidDel="00000000" w:rsidR="00000000" w:rsidRPr="00000000">
        <w:rPr>
          <w:rFonts w:ascii="Arial Narrow" w:cs="Arial Narrow" w:eastAsia="Arial Narrow" w:hAnsi="Arial Narrow"/>
          <w:rtl w:val="0"/>
        </w:rPr>
        <w:t xml:space="preserve">Keolis Amey Operations / Gweithrediadau Keolis Amey Limited</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rtl w:val="0"/>
        </w:rPr>
        <w:t xml:space="preserve">11389531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rtl w:val="0"/>
        </w:rPr>
        <w:t xml:space="preserve">2 Callaghan Square, Cardiff, United Kingdom, CF10 5BT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AKIL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Defendant").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4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w:t>
        <w:tab/>
        <w:t xml:space="preserve">Include correspondence address, contact details and e-mail address if different. </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DEFENDANT’S RIGHT TO CONTEST THIS REFERENCE</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Panel")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needs to make explicitly clear what provisions of its contract entitle, or direct, it to defend its disputed actions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Response to the Claimant’s Sole Reference includes:-</w:t>
      </w:r>
    </w:p>
    <w:p w:rsidR="00000000" w:rsidDel="00000000" w:rsidP="00000000" w:rsidRDefault="00000000" w:rsidRPr="00000000" w14:paraId="0000002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Confirmation, or qualification, that the subject matter of the dispute is as set out by the Claimant in its Sole Reference, in the form of a summary schedule cross referenced to the issues disputed by the Claimant in the Sole Reference, identifying which the Defendant agrees with and which it disagrees with.   </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detailed explanation of the Defendant’s arguments in support of its position on those issues where it disagrees with the Claimant’s Reference, including references to Documents or contractual provisions not dealt with in the Sole Reference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Any further related issues not raised by the Claimant, but which the Defendant considers fall to be determined as part of the dispute; </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decisions of principle sought from the Panel in respect of </w:t>
      </w:r>
      <w:r w:rsidDel="00000000" w:rsidR="00000000" w:rsidRPr="00000000">
        <w:rPr>
          <w:rtl w:val="0"/>
        </w:rPr>
      </w:r>
    </w:p>
    <w:p w:rsidR="00000000" w:rsidDel="00000000" w:rsidP="00000000" w:rsidRDefault="00000000" w:rsidRPr="00000000" w14:paraId="0000002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2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Appendices and other supporting material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 in particular clarifying any areas where the Defendant disagrees with the description of the subject matter of the dispute given by the Claimant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Details of the Condition in the Network Code, or the relevant provisions of the Track Access Contract that the dispute relates to, or is associated with, that have not been cited in the Sole Reference, but which the Defendant considers supports its case.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relevant extract(s) from the document(s) referred to above is/are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  </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the Defendant considers are relevant to the dispute.  The relevant parts must also be copied and annexed to this Reference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not already given by the Claimant, as is necessary to ensure a common level of understanding of all members of the Panel, including details of the contractual framework surrounding the obligations of the parties in relation to the dispute.   This is also the opportunity to make any case that the Claimant has sought to introduce as relevant, material which the Defendant considers does not relate to the circumstance in dispute.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FROM THE DEFENDANT’S PERSPECTIVE OF EACH ISSUE IN DISPUTE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those issues where the Defendant disagrees with the Claimant’s position together with the reasons for that disagreement;</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qualifies or refutes the Claimant’s Case</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not addressed by the Claimant that the Defendant considers should be taken into account as material to the determination</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Why the arguments raised in 6.1 to 6</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3 taken together favour the position of the Defendant</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in any case brought before a Timetabling Dispute should keep in mind that in most cases the Panel needs to be given</w:t>
      </w:r>
    </w:p>
    <w:p w:rsidR="00000000" w:rsidDel="00000000" w:rsidP="00000000" w:rsidRDefault="00000000" w:rsidRPr="00000000" w14:paraId="00000043">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w:t>
      </w:r>
      <w:r w:rsidDel="00000000" w:rsidR="00000000" w:rsidRPr="00000000">
        <w:rPr>
          <w:rFonts w:ascii="Arial Narrow" w:cs="Arial Narrow" w:eastAsia="Arial Narrow" w:hAnsi="Arial Narrow"/>
          <w:i w:val="1"/>
          <w:rtl w:val="0"/>
        </w:rPr>
        <w:t xml:space="preserve">r</w:t>
      </w:r>
      <w:r w:rsidDel="00000000" w:rsidR="00000000" w:rsidRPr="00000000">
        <w:rPr>
          <w:rFonts w:ascii="Arial Narrow" w:cs="Arial Narrow" w:eastAsia="Arial Narrow" w:hAnsi="Arial Narrow"/>
          <w:i w:val="1"/>
          <w:vertAlign w:val="baseline"/>
          <w:rtl w:val="0"/>
        </w:rPr>
        <w:t xml:space="preserve">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4">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45">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6">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practical implications of the dispute (e.g. numbers of trains potentially affected, ditto passengers or freight customers, order of magnitude of any financial impact) where this differs from the Claimant’s;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7">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Defendant considers it would be inappropriate for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8">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1"/>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Defendant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znysh7" w:id="2"/>
      <w:bookmarkEnd w:id="2"/>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will have a clear reason why it has not already settled the dispute, and the result that it wishes the Panel to deliver.  There is need therefore for it to set down clearly what it wants the Panel to find in its favour.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Panel should be the first thing finalised, and arguments marshalled to support the case for that outcome.   That said, the Defendant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List any specific remedies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sought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80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Defendant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Defendant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Access Dispute Resolution Rules, which requires that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H21(b) (I)</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Extracts are included where the dispute relates to previous (i.e. no longer current) versions of these documents.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SIGNATURES</w:t>
      </w:r>
    </w:p>
    <w:tbl>
      <w:tblPr>
        <w:tblStyle w:val="Table1"/>
        <w:tblW w:w="8291.0" w:type="dxa"/>
        <w:jc w:val="left"/>
        <w:tblInd w:w="0.0" w:type="dxa"/>
        <w:tblLayout w:type="fixed"/>
        <w:tblLook w:val="0000"/>
      </w:tblPr>
      <w:tblGrid>
        <w:gridCol w:w="4145"/>
        <w:gridCol w:w="4146"/>
        <w:tblGridChange w:id="0">
          <w:tblGrid>
            <w:gridCol w:w="4145"/>
            <w:gridCol w:w="4146"/>
          </w:tblGrid>
        </w:tblGridChange>
      </w:tblGrid>
      <w:tr>
        <w:tc>
          <w:tcPr>
            <w:vAlign w:val="top"/>
          </w:tcPr>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c>
          <w:tcPr>
            <w:vAlign w:val="top"/>
          </w:tcPr>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rtl w:val="0"/>
              </w:rPr>
              <w:t xml:space="preserve">Keolis Amey Operations / Gweithrediadau Keolis Amey Limited</w:t>
            </w: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6">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7">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Defendant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 …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p>
    <w:sectPr>
      <w:footerReference r:id="rId7"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rFonts w:ascii="Arial" w:cs="Arial" w:eastAsia="Arial" w:hAnsi="Arial"/>
        <w:b w:val="1"/>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rFonts w:ascii="Arial" w:cs="Arial" w:eastAsia="Arial" w:hAnsi="Arial"/>
        <w:b w:val="1"/>
        <w:smallCaps w:val="0"/>
        <w:strike w:val="0"/>
        <w:color w:val="000000"/>
        <w:vertAlign w:val="baseline"/>
      </w:rPr>
    </w:lvl>
    <w:lvl w:ilvl="2">
      <w:start w:val="1"/>
      <w:numFmt w:val="lowerLetter"/>
      <w:lvlText w:val="(%3)"/>
      <w:lvlJc w:val="left"/>
      <w:pPr>
        <w:ind w:left="18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69" w:hanging="709"/>
      </w:pPr>
      <w:rPr>
        <w:smallCaps w:val="0"/>
        <w:strike w:val="0"/>
        <w:color w:val="000000"/>
        <w:vertAlign w:val="baseline"/>
      </w:rPr>
    </w:lvl>
    <w:lvl w:ilvl="2">
      <w:start w:val="1"/>
      <w:numFmt w:val="lowerLetter"/>
      <w:lvlText w:val="(%3)"/>
      <w:lvlJc w:val="left"/>
      <w:pPr>
        <w:ind w:left="1069" w:firstLine="0"/>
      </w:pPr>
      <w:rPr>
        <w:b w:val="0"/>
        <w:i w:val="0"/>
        <w:smallCaps w:val="0"/>
        <w:strike w:val="0"/>
        <w:color w:val="000000"/>
        <w:u w:val="none"/>
        <w:vertAlign w:val="baseline"/>
      </w:rPr>
    </w:lvl>
    <w:lvl w:ilvl="3">
      <w:start w:val="1"/>
      <w:numFmt w:val="lowerRoman"/>
      <w:lvlText w:val="(%4)"/>
      <w:lvlJc w:val="left"/>
      <w:pPr>
        <w:ind w:left="2520" w:hanging="720"/>
      </w:pPr>
      <w:rPr>
        <w:b w:val="0"/>
        <w:i w:val="0"/>
        <w:smallCaps w:val="0"/>
        <w:strike w:val="0"/>
        <w:color w:val="000000"/>
        <w:u w:val="none"/>
        <w:vertAlign w:val="baseline"/>
      </w:rPr>
    </w:lvl>
    <w:lvl w:ilvl="4">
      <w:start w:val="1"/>
      <w:numFmt w:val="upperLetter"/>
      <w:lvlText w:val="(%5)"/>
      <w:lvlJc w:val="left"/>
      <w:pPr>
        <w:ind w:left="3240" w:hanging="720"/>
      </w:pPr>
      <w:rPr>
        <w:b w:val="0"/>
        <w:i w:val="0"/>
        <w:smallCaps w:val="0"/>
        <w:strike w:val="0"/>
        <w:color w:val="000000"/>
        <w:u w:val="none"/>
        <w:vertAlign w:val="baseline"/>
      </w:rPr>
    </w:lvl>
    <w:lvl w:ilvl="5">
      <w:start w:val="1"/>
      <w:numFmt w:val="decimal"/>
      <w:lvlText w:val="%6)"/>
      <w:lvlJc w:val="left"/>
      <w:pPr>
        <w:ind w:left="3960" w:hanging="720"/>
      </w:pPr>
      <w:rPr>
        <w:b w:val="0"/>
        <w:i w:val="0"/>
        <w:smallCaps w:val="0"/>
        <w:strike w:val="0"/>
        <w:color w:val="000000"/>
        <w:u w:val="none"/>
        <w:vertAlign w:val="baseline"/>
      </w:rPr>
    </w:lvl>
    <w:lvl w:ilvl="6">
      <w:start w:val="1"/>
      <w:numFmt w:val="decimal"/>
      <w:lvlText w:val="Not Defined"/>
      <w:lvlJc w:val="left"/>
      <w:pPr>
        <w:ind w:left="360" w:firstLine="0"/>
      </w:pPr>
      <w:rPr>
        <w:b w:val="0"/>
        <w:i w:val="0"/>
        <w:smallCaps w:val="0"/>
        <w:strike w:val="0"/>
        <w:color w:val="000000"/>
        <w:u w:val="none"/>
        <w:vertAlign w:val="baseline"/>
      </w:rPr>
    </w:lvl>
    <w:lvl w:ilvl="7">
      <w:start w:val="1"/>
      <w:numFmt w:val="decimal"/>
      <w:lvlText w:val="Not Defined"/>
      <w:lvlJc w:val="left"/>
      <w:pPr>
        <w:ind w:left="360" w:firstLine="0"/>
      </w:pPr>
      <w:rPr>
        <w:b w:val="0"/>
        <w:i w:val="0"/>
        <w:smallCaps w:val="0"/>
        <w:strike w:val="0"/>
        <w:color w:val="000000"/>
        <w:u w:val="none"/>
        <w:vertAlign w:val="baseline"/>
      </w:rPr>
    </w:lvl>
    <w:lvl w:ilvl="8">
      <w:start w:val="1"/>
      <w:numFmt w:val="decimal"/>
      <w:lvlText w:val="Not Defined"/>
      <w:lvlJc w:val="left"/>
      <w:pPr>
        <w:ind w:left="360" w:firstLine="0"/>
      </w:pPr>
      <w:rPr>
        <w:b w:val="0"/>
        <w:i w:val="0"/>
        <w:smallCaps w:val="0"/>
        <w:strike w:val="0"/>
        <w:color w:val="000000"/>
        <w:u w:val="none"/>
        <w:vertAlign w:val="baseline"/>
      </w:rPr>
    </w:lvl>
  </w:abstractNum>
  <w:abstractNum w:abstractNumId="7">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180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92hULq4qf9JLTS8fXBJTS+Rqw==">AMUW2mXrK6MX4nrr/f8ZrbauKIo5rqu95lhDkumsFmpiagNkB8pui5D7PqQYyl8Ke1xjARBBZzVYLZtuIakMRl2eCMD1g6YUTS9EAAPCRtdLcoY3xkNAFJoL0XfdXrnS6AVmxBPijtwiQktBxZEUc5UuVYMZ9lbOTg==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2010-12-16T16:28:00Z</dcterms:created>
  <dc:creator>Shrubsole</dc:creator>
</cp:coreProperties>
</file>