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(with advisory annotations) for a Defendant’s Response to a Sole Reference to a Timetabling Panel in accordance with the provisions of Chapter H of the </w:t>
      </w:r>
      <w:r w:rsidDel="00000000" w:rsidR="00000000" w:rsidRPr="00000000">
        <w:rPr>
          <w:rFonts w:ascii="Arial Narrow" w:cs="Arial Narrow" w:eastAsia="Arial Narrow" w:hAnsi="Arial Narrow"/>
          <w:b w:val="1"/>
          <w:sz w:val="28"/>
          <w:szCs w:val="28"/>
          <w:rtl w:val="0"/>
        </w:rPr>
        <w:t xml:space="preserve">CVL</w:t>
      </w:r>
      <w:r w:rsidDel="00000000" w:rsidR="00000000" w:rsidRPr="00000000">
        <w:rPr>
          <w:rFonts w:ascii="Arial Narrow" w:cs="Arial Narrow" w:eastAsia="Arial Narrow" w:hAnsi="Arial Narrow"/>
          <w:b w:val="1"/>
          <w:sz w:val="28"/>
          <w:szCs w:val="28"/>
          <w:vertAlign w:val="baseline"/>
          <w:rtl w:val="0"/>
        </w:rPr>
        <w:t xml:space="preserve"> ADR Rules</w:t>
      </w:r>
      <w:r w:rsidDel="00000000" w:rsidR="00000000" w:rsidRPr="00000000">
        <w:rPr>
          <w:rtl w:val="0"/>
        </w:rPr>
      </w:r>
    </w:p>
    <w:p w:rsidR="00000000" w:rsidDel="00000000" w:rsidP="00000000" w:rsidRDefault="00000000" w:rsidRPr="00000000" w14:paraId="00000004">
      <w:pPr>
        <w:spacing w:after="12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Rule H21 (b) is to be used by the Defendant Dispute Party to prepare a response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6">
      <w:pPr>
        <w:spacing w:after="120" w:before="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Upon appointment the CCOS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w:t>
      </w:r>
      <w:r w:rsidDel="00000000" w:rsidR="00000000" w:rsidRPr="00000000">
        <w:rPr>
          <w:rFonts w:ascii="Arial Narrow" w:cs="Arial Narrow" w:eastAsia="Arial Narrow" w:hAnsi="Arial Narrow"/>
          <w:b w:val="1"/>
          <w:i w:val="1"/>
          <w:rtl w:val="0"/>
        </w:rPr>
        <w:t xml:space="preserve">Dispute P</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arties agree to submit a joint reference they shall,……..”</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w:t>
      </w:r>
      <w:r w:rsidDel="00000000" w:rsidR="00000000" w:rsidRPr="00000000">
        <w:rPr>
          <w:rFonts w:ascii="Arial Narrow" w:cs="Arial Narrow" w:eastAsia="Arial Narrow" w:hAnsi="Arial Narrow"/>
          <w:b w:val="1"/>
          <w:i w:val="1"/>
          <w:rtl w:val="0"/>
        </w:rPr>
        <w:t xml:space="preserve">Dispute P</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arties do not agree to submit a joint reference in accordance with (a) above:….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 each claimant shall ………. produce and serve upon all Involved Parties a sole reference which [SEE FULL TEXT]….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(ii). each defendant shall within seven days of service on it of such sole reference produce and serve upon all Involved Parties a response which [SEE FULL TEXT]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other Dispute Party (Parties)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3">
      <w:pPr>
        <w:spacing w:after="120"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CCOS Hearing Chair, the maximum length of submissions shall be as follows: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(d)  a sole reference or response shall be no longer than 10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w:t>
        <w:tab/>
        <w:t xml:space="preserve">[Full Company name]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[Full address]                             ("[insert short form or abbreviation for Company name i.e. its initials]") ("the Claimant"); and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698"/>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(b)</w:t>
        <w:tab/>
      </w:r>
      <w:r w:rsidDel="00000000" w:rsidR="00000000" w:rsidRPr="00000000">
        <w:rPr>
          <w:rFonts w:ascii="Arial Narrow" w:cs="Arial Narrow" w:eastAsia="Arial Narrow" w:hAnsi="Arial Narrow"/>
          <w:rtl w:val="0"/>
        </w:rPr>
        <w:t xml:space="preserve">Rail for London (Infrastructure) Limited, a company registered in England and Wales with company number 11389544 ("RfL(I)")</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w:t>
        <w:tab/>
        <w:t xml:space="preserve">Include correspondence address, contact details and e-mail address if different.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DEFENDANT’S RIGHT TO CONTEST THIS REFERENCE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Panel")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needs to make explicitly clear what provisions of its contract entitle, or direct, it to defend its disputed actions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Response to the Claimant’s Sole Reference includes:-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Confirmation, or qualification, that the subject matter of the dispute is as set out by the Claimant in its Sole Reference, in the form of a summary schedule cross referenced to the issues disputed by the Claimant in the Sole Reference, identifying which the Defendant agrees with and which it disagrees with.   </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detailed explanation of the Defendant’s arguments in support of its position on those issues where it disagrees with the Claimant’s Reference, including references to Documents or contractual provisions not dealt with in the Sole Reference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Any further related issues not raised by the Claimant, but which the Defendant considers fall to be determined as part of the dispute; </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decisions of principle sought from the Panel in respect of </w:t>
      </w:r>
      <w:r w:rsidDel="00000000" w:rsidR="00000000" w:rsidRPr="00000000">
        <w:rPr>
          <w:rtl w:val="0"/>
        </w:rPr>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Appendices and other supporting material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 in particular clarifying any areas where the Defendant disagrees with the description of the subject matter of the dispute given by the Claimant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Details of the Condition in the Network Code, or the relevant provisions of the Track Access Contract that the dispute relates to, or is associated with, that have not been cited in the Sole Reference, but which the Defendant considers supports its case.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the Defendant considers are relevant to the dispute.  The relevant parts must also be copied and annexed to this Reference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not already given by the Claimant, as is necessary to ensure a common level of understanding of all members of the Panel, including details of the contractual framework surrounding the obligations of the parties in relation to the dispute.   This is also the opportunity to make any case that the Claimant has sought to introduce as relevant, material which the Defendant considers does not relate to the circumstance in dispute.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FROM THE DEFENDANT’S PERSPECTIVE OF EACH ISSUE IN DISPUTE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those issues where the Defendant disagrees with the Claimant’s position together with the reasons for that disagreement;</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qualifies or refutes the Claimant’s Case</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not addressed by the Claimant that the Defendant considers should be taken into account as material to the determination</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Why the arguments raised in 6.1 to 6</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3 taken together favour the position of the Defendant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in any case brought before a Timetabling Dispute should keep in mind that in most cases the Panel needs to be given</w:t>
      </w:r>
    </w:p>
    <w:p w:rsidR="00000000" w:rsidDel="00000000" w:rsidP="00000000" w:rsidRDefault="00000000" w:rsidRPr="00000000" w14:paraId="00000043">
      <w:pPr>
        <w:numPr>
          <w:ilvl w:val="0"/>
          <w:numId w:val="1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w:t>
      </w:r>
      <w:r w:rsidDel="00000000" w:rsidR="00000000" w:rsidRPr="00000000">
        <w:rPr>
          <w:rFonts w:ascii="Arial Narrow" w:cs="Arial Narrow" w:eastAsia="Arial Narrow" w:hAnsi="Arial Narrow"/>
          <w:i w:val="1"/>
          <w:rtl w:val="0"/>
        </w:rPr>
        <w:t xml:space="preserve">r</w:t>
      </w:r>
      <w:r w:rsidDel="00000000" w:rsidR="00000000" w:rsidRPr="00000000">
        <w:rPr>
          <w:rFonts w:ascii="Arial Narrow" w:cs="Arial Narrow" w:eastAsia="Arial Narrow" w:hAnsi="Arial Narrow"/>
          <w:i w:val="1"/>
          <w:vertAlign w:val="baseline"/>
          <w:rtl w:val="0"/>
        </w:rPr>
        <w:t xml:space="preserve">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4">
      <w:pPr>
        <w:numPr>
          <w:ilvl w:val="0"/>
          <w:numId w:val="10"/>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45">
      <w:pPr>
        <w:numPr>
          <w:ilvl w:val="0"/>
          <w:numId w:val="10"/>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6">
      <w:pPr>
        <w:numPr>
          <w:ilvl w:val="0"/>
          <w:numId w:val="10"/>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7">
      <w:pPr>
        <w:numPr>
          <w:ilvl w:val="0"/>
          <w:numId w:val="10"/>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8">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1"/>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Defendant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Defendant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List any specific remedies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sought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Defendant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Defendant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Access Dispute Resolution Rules, which requires that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H21(b)(</w:t>
      </w:r>
      <w:r w:rsidDel="00000000" w:rsidR="00000000" w:rsidRPr="00000000">
        <w:rPr>
          <w:rFonts w:ascii="Arial Narrow" w:cs="Arial Narrow" w:eastAsia="Arial Narrow" w:hAnsi="Arial Narrow"/>
          <w:b w:val="1"/>
          <w:rtl w:val="0"/>
        </w:rPr>
        <w:t xml:space="preserve">ii</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)(F)</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SIGNATURES</w:t>
      </w:r>
      <w:r w:rsidDel="00000000" w:rsidR="00000000" w:rsidRPr="00000000">
        <w:rPr>
          <w:rtl w:val="0"/>
        </w:rPr>
      </w:r>
    </w:p>
    <w:tbl>
      <w:tblPr>
        <w:tblStyle w:val="Table1"/>
        <w:tblW w:w="8291.0" w:type="dxa"/>
        <w:jc w:val="left"/>
        <w:tblInd w:w="0.0" w:type="dxa"/>
        <w:tblLayout w:type="fixed"/>
        <w:tblLook w:val="0000"/>
      </w:tblPr>
      <w:tblGrid>
        <w:gridCol w:w="4145"/>
        <w:gridCol w:w="4146"/>
        <w:tblGridChange w:id="0">
          <w:tblGrid>
            <w:gridCol w:w="4145"/>
            <w:gridCol w:w="4146"/>
          </w:tblGrid>
        </w:tblGridChange>
      </w:tblGrid>
      <w:tr>
        <w:tc>
          <w:tcPr>
            <w:vAlign w:val="top"/>
          </w:tcPr>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c>
          <w:tcPr>
            <w:vAlign w:val="top"/>
          </w:tcPr>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rtl w:val="0"/>
              </w:rPr>
              <w:t xml:space="preserve">Rail for London (Infrastructure) Limited</w:t>
            </w: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6">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7">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Defendant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rFonts w:ascii="Arial" w:cs="Arial" w:eastAsia="Arial" w:hAnsi="Arial"/>
        <w:b w:val="1"/>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69" w:hanging="709"/>
      </w:pPr>
      <w:rPr>
        <w:smallCaps w:val="0"/>
        <w:strike w:val="0"/>
        <w:color w:val="000000"/>
        <w:vertAlign w:val="baseline"/>
      </w:rPr>
    </w:lvl>
    <w:lvl w:ilvl="2">
      <w:start w:val="1"/>
      <w:numFmt w:val="lowerLetter"/>
      <w:lvlText w:val="(%3)"/>
      <w:lvlJc w:val="left"/>
      <w:pPr>
        <w:ind w:left="1069" w:firstLine="0"/>
      </w:pPr>
      <w:rPr>
        <w:b w:val="0"/>
        <w:i w:val="0"/>
        <w:smallCaps w:val="0"/>
        <w:strike w:val="0"/>
        <w:color w:val="000000"/>
        <w:u w:val="none"/>
        <w:vertAlign w:val="baseline"/>
      </w:rPr>
    </w:lvl>
    <w:lvl w:ilvl="3">
      <w:start w:val="1"/>
      <w:numFmt w:val="lowerRoman"/>
      <w:lvlText w:val="(%4)"/>
      <w:lvlJc w:val="left"/>
      <w:pPr>
        <w:ind w:left="2520" w:hanging="720"/>
      </w:pPr>
      <w:rPr>
        <w:b w:val="0"/>
        <w:i w:val="0"/>
        <w:smallCaps w:val="0"/>
        <w:strike w:val="0"/>
        <w:color w:val="000000"/>
        <w:u w:val="none"/>
        <w:vertAlign w:val="baseline"/>
      </w:rPr>
    </w:lvl>
    <w:lvl w:ilvl="4">
      <w:start w:val="1"/>
      <w:numFmt w:val="upperLetter"/>
      <w:lvlText w:val="(%5)"/>
      <w:lvlJc w:val="left"/>
      <w:pPr>
        <w:ind w:left="3240" w:hanging="720"/>
      </w:pPr>
      <w:rPr>
        <w:b w:val="0"/>
        <w:i w:val="0"/>
        <w:smallCaps w:val="0"/>
        <w:strike w:val="0"/>
        <w:color w:val="000000"/>
        <w:u w:val="none"/>
        <w:vertAlign w:val="baseline"/>
      </w:rPr>
    </w:lvl>
    <w:lvl w:ilvl="5">
      <w:start w:val="1"/>
      <w:numFmt w:val="decimal"/>
      <w:lvlText w:val="%6)"/>
      <w:lvlJc w:val="left"/>
      <w:pPr>
        <w:ind w:left="3960" w:hanging="720"/>
      </w:pPr>
      <w:rPr>
        <w:b w:val="0"/>
        <w:i w:val="0"/>
        <w:smallCaps w:val="0"/>
        <w:strike w:val="0"/>
        <w:color w:val="000000"/>
        <w:u w:val="none"/>
        <w:vertAlign w:val="baseline"/>
      </w:rPr>
    </w:lvl>
    <w:lvl w:ilvl="6">
      <w:start w:val="1"/>
      <w:numFmt w:val="decimal"/>
      <w:lvlText w:val="Not Defined"/>
      <w:lvlJc w:val="left"/>
      <w:pPr>
        <w:ind w:left="360" w:firstLine="0"/>
      </w:pPr>
      <w:rPr>
        <w:b w:val="0"/>
        <w:i w:val="0"/>
        <w:smallCaps w:val="0"/>
        <w:strike w:val="0"/>
        <w:color w:val="000000"/>
        <w:u w:val="none"/>
        <w:vertAlign w:val="baseline"/>
      </w:rPr>
    </w:lvl>
    <w:lvl w:ilvl="7">
      <w:start w:val="1"/>
      <w:numFmt w:val="decimal"/>
      <w:lvlText w:val="Not Defined"/>
      <w:lvlJc w:val="left"/>
      <w:pPr>
        <w:ind w:left="360" w:firstLine="0"/>
      </w:pPr>
      <w:rPr>
        <w:b w:val="0"/>
        <w:i w:val="0"/>
        <w:smallCaps w:val="0"/>
        <w:strike w:val="0"/>
        <w:color w:val="000000"/>
        <w:u w:val="none"/>
        <w:vertAlign w:val="baseline"/>
      </w:rPr>
    </w:lvl>
    <w:lvl w:ilvl="8">
      <w:start w:val="1"/>
      <w:numFmt w:val="decimal"/>
      <w:lvlText w:val="Not Defined"/>
      <w:lvlJc w:val="left"/>
      <w:pPr>
        <w:ind w:left="360" w:firstLine="0"/>
      </w:pPr>
      <w:rPr>
        <w:b w:val="0"/>
        <w:i w:val="0"/>
        <w:smallCaps w:val="0"/>
        <w:strike w:val="0"/>
        <w:color w:val="000000"/>
        <w:u w:val="none"/>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7">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rFonts w:ascii="Arial" w:cs="Arial" w:eastAsia="Arial" w:hAnsi="Arial"/>
        <w:b w:val="1"/>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vCxHi8dQtdXbcv649jn4wKqu6A==">AMUW2mW+mJSfW8HnkBT9l6jSsKvx3fXlbprBvHdYiQb1SJSEZL9qhAMtfcuraXh5blSBgObeukgvadb/Hi3A/rkdKiKu42rznjhZAVU+zT1hZtp4vgXLZ1KJ5JYubLyygspXee9uZ0tyDDfnQpm7zbUx6WzvZlnsNg==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2010-12-16T16:28:00Z</dcterms:created>
  <dc:creator>Shrubsole</dc:creator>
</cp:coreProperties>
</file>